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6" w:type="pct"/>
        <w:tblInd w:w="-318" w:type="dxa"/>
        <w:tblLook w:val="01E0" w:firstRow="1" w:lastRow="1" w:firstColumn="1" w:lastColumn="1" w:noHBand="0" w:noVBand="0"/>
      </w:tblPr>
      <w:tblGrid>
        <w:gridCol w:w="6228"/>
        <w:gridCol w:w="9119"/>
      </w:tblGrid>
      <w:tr w:rsidR="00FA28FF" w:rsidRPr="00FA28FF" w14:paraId="7EC77B6F" w14:textId="77777777" w:rsidTr="008B1B3F">
        <w:trPr>
          <w:trHeight w:val="840"/>
        </w:trPr>
        <w:tc>
          <w:tcPr>
            <w:tcW w:w="2029" w:type="pct"/>
          </w:tcPr>
          <w:p w14:paraId="4D85DB5F" w14:textId="77777777" w:rsidR="00B22077" w:rsidRPr="00FA28FF" w:rsidRDefault="00B22077" w:rsidP="008B1B3F">
            <w:pPr>
              <w:jc w:val="center"/>
              <w:rPr>
                <w:rFonts w:ascii="Times New Roman" w:hAnsi="Times New Roman"/>
                <w:color w:val="000000" w:themeColor="text1"/>
                <w:sz w:val="26"/>
                <w:szCs w:val="26"/>
              </w:rPr>
            </w:pPr>
            <w:bookmarkStart w:id="0" w:name="_GoBack"/>
            <w:bookmarkEnd w:id="0"/>
            <w:r w:rsidRPr="00FA28FF">
              <w:rPr>
                <w:rFonts w:ascii="Times New Roman" w:hAnsi="Times New Roman"/>
                <w:color w:val="000000" w:themeColor="text1"/>
                <w:sz w:val="26"/>
                <w:szCs w:val="26"/>
              </w:rPr>
              <w:t>UBND THÀNH PHỐ HÀ NỘI</w:t>
            </w:r>
          </w:p>
          <w:p w14:paraId="233DADBF" w14:textId="77777777" w:rsidR="00B22077" w:rsidRPr="00FA28FF" w:rsidRDefault="00B22077" w:rsidP="008B1B3F">
            <w:pPr>
              <w:jc w:val="center"/>
              <w:rPr>
                <w:rFonts w:ascii="Times New Roman" w:hAnsi="Times New Roman"/>
                <w:b/>
                <w:color w:val="000000" w:themeColor="text1"/>
                <w:spacing w:val="-12"/>
                <w:sz w:val="28"/>
                <w:szCs w:val="28"/>
              </w:rPr>
            </w:pPr>
            <w:r w:rsidRPr="00FA28FF">
              <w:rPr>
                <w:rFonts w:ascii="Times New Roman" w:hAnsi="Times New Roman"/>
                <w:b/>
                <w:color w:val="000000" w:themeColor="text1"/>
                <w:sz w:val="26"/>
                <w:szCs w:val="26"/>
              </w:rPr>
              <w:t>SỞ CÔNG THƯƠNG</w:t>
            </w:r>
          </w:p>
          <w:p w14:paraId="103F30E3" w14:textId="77777777" w:rsidR="00B22077" w:rsidRPr="00FA28FF" w:rsidRDefault="00B22077" w:rsidP="008B1B3F">
            <w:pPr>
              <w:jc w:val="center"/>
              <w:rPr>
                <w:rFonts w:ascii="Times New Roman" w:hAnsi="Times New Roman"/>
                <w:b/>
                <w:color w:val="000000" w:themeColor="text1"/>
                <w:spacing w:val="-12"/>
                <w:sz w:val="26"/>
                <w:szCs w:val="28"/>
              </w:rPr>
            </w:pPr>
            <w:r w:rsidRPr="00FA28FF">
              <w:rPr>
                <w:rFonts w:ascii="Times New Roman" w:hAnsi="Times New Roman"/>
                <w:b/>
                <w:noProof/>
                <w:color w:val="000000" w:themeColor="text1"/>
                <w:spacing w:val="-12"/>
                <w:sz w:val="26"/>
                <w:szCs w:val="28"/>
              </w:rPr>
              <mc:AlternateContent>
                <mc:Choice Requires="wps">
                  <w:drawing>
                    <wp:anchor distT="0" distB="0" distL="114300" distR="114300" simplePos="0" relativeHeight="251660288" behindDoc="0" locked="0" layoutInCell="1" allowOverlap="1" wp14:anchorId="778748F8" wp14:editId="10298CC5">
                      <wp:simplePos x="0" y="0"/>
                      <wp:positionH relativeFrom="column">
                        <wp:posOffset>1333256</wp:posOffset>
                      </wp:positionH>
                      <wp:positionV relativeFrom="paragraph">
                        <wp:posOffset>21858</wp:posOffset>
                      </wp:positionV>
                      <wp:extent cx="990600" cy="0"/>
                      <wp:effectExtent l="9525" t="6350" r="9525" b="12700"/>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5E60C3" id="_x0000_t32" coordsize="21600,21600" o:spt="32" o:oned="t" path="m,l21600,21600e" filled="f">
                      <v:path arrowok="t" fillok="f" o:connecttype="none"/>
                      <o:lock v:ext="edit" shapetype="t"/>
                    </v:shapetype>
                    <v:shape id="AutoShape 151" o:spid="_x0000_s1026" type="#_x0000_t32" style="position:absolute;margin-left:105pt;margin-top:1.7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ITG3oXbAAAABwEAAA8AAABkcnMvZG93bnJldi54&#10;bWxMj8FOwzAQRO9I/IO1SFwQtZNCREOcqkLiwJG2Elc33iaBeB3FThP69Sxc6PFpVjNvi/XsOnHC&#10;IbSeNCQLBQKp8ralWsN+93r/BCJEQ9Z0nlDDNwZYl9dXhcmtn+gdT9tYCy6hkBsNTYx9LmWoGnQm&#10;LHyPxNnRD85ExqGWdjATl7tOpkpl0pmWeKExPb40WH1tR6cBw/iYqM3K1fu383T3kZ4/p36n9e3N&#10;vHkGEXGO/8fwq8/qULLTwY9kg+g0pIniX6KG5QMIzpdZxnz4Y1kW8tK//AEAAP//AwBQSwECLQAU&#10;AAYACAAAACEAtoM4kv4AAADhAQAAEwAAAAAAAAAAAAAAAAAAAAAAW0NvbnRlbnRfVHlwZXNdLnht&#10;bFBLAQItABQABgAIAAAAIQA4/SH/1gAAAJQBAAALAAAAAAAAAAAAAAAAAC8BAABfcmVscy8ucmVs&#10;c1BLAQItABQABgAIAAAAIQD2fKZItgEAAFUDAAAOAAAAAAAAAAAAAAAAAC4CAABkcnMvZTJvRG9j&#10;LnhtbFBLAQItABQABgAIAAAAIQCExt6F2wAAAAcBAAAPAAAAAAAAAAAAAAAAABAEAABkcnMvZG93&#10;bnJldi54bWxQSwUGAAAAAAQABADzAAAAGAUAAAAA&#10;"/>
                  </w:pict>
                </mc:Fallback>
              </mc:AlternateContent>
            </w:r>
          </w:p>
          <w:p w14:paraId="2CC566D9" w14:textId="77777777" w:rsidR="00B22077" w:rsidRPr="00FA28FF" w:rsidRDefault="00B22077" w:rsidP="00DD5CBE">
            <w:pPr>
              <w:jc w:val="center"/>
              <w:rPr>
                <w:rFonts w:ascii="Times New Roman" w:hAnsi="Times New Roman"/>
                <w:color w:val="000000" w:themeColor="text1"/>
              </w:rPr>
            </w:pPr>
          </w:p>
        </w:tc>
        <w:tc>
          <w:tcPr>
            <w:tcW w:w="2971" w:type="pct"/>
          </w:tcPr>
          <w:p w14:paraId="2C075F56" w14:textId="77777777" w:rsidR="00B22077" w:rsidRPr="00FA28FF" w:rsidRDefault="00B22077" w:rsidP="008B1B3F">
            <w:pPr>
              <w:ind w:hanging="89"/>
              <w:jc w:val="center"/>
              <w:rPr>
                <w:rFonts w:ascii="Times New Roman" w:hAnsi="Times New Roman"/>
                <w:b/>
                <w:color w:val="000000" w:themeColor="text1"/>
                <w:sz w:val="26"/>
                <w:szCs w:val="26"/>
              </w:rPr>
            </w:pPr>
            <w:r w:rsidRPr="00FA28FF">
              <w:rPr>
                <w:rFonts w:ascii="Times New Roman" w:hAnsi="Times New Roman"/>
                <w:b/>
                <w:color w:val="000000" w:themeColor="text1"/>
                <w:sz w:val="26"/>
                <w:szCs w:val="26"/>
              </w:rPr>
              <w:t>CỘNG HÒA XÃ HỘI CHỦ NGHĨA VIỆT NAM</w:t>
            </w:r>
          </w:p>
          <w:p w14:paraId="31E12B2D" w14:textId="04759AA7" w:rsidR="00B22077" w:rsidRPr="00FA28FF" w:rsidRDefault="00B22077" w:rsidP="008B1B3F">
            <w:pPr>
              <w:ind w:hanging="89"/>
              <w:jc w:val="center"/>
              <w:rPr>
                <w:rFonts w:ascii="Times New Roman" w:hAnsi="Times New Roman"/>
                <w:b/>
                <w:color w:val="000000" w:themeColor="text1"/>
                <w:sz w:val="28"/>
                <w:szCs w:val="28"/>
              </w:rPr>
            </w:pPr>
            <w:r w:rsidRPr="00FA28FF">
              <w:rPr>
                <w:rFonts w:ascii="Times New Roman" w:hAnsi="Times New Roman"/>
                <w:b/>
                <w:color w:val="000000" w:themeColor="text1"/>
                <w:sz w:val="28"/>
                <w:szCs w:val="28"/>
              </w:rPr>
              <w:t>Độc lập - Tự do - Hạnh phúc</w:t>
            </w:r>
          </w:p>
          <w:p w14:paraId="26423B62" w14:textId="2EBAA7A6" w:rsidR="00B22077" w:rsidRPr="00FA28FF" w:rsidRDefault="00263090" w:rsidP="008B1B3F">
            <w:pPr>
              <w:ind w:hanging="89"/>
              <w:jc w:val="center"/>
              <w:rPr>
                <w:rFonts w:ascii="Times New Roman" w:hAnsi="Times New Roman"/>
                <w:b/>
                <w:color w:val="000000" w:themeColor="text1"/>
                <w:sz w:val="28"/>
                <w:szCs w:val="28"/>
              </w:rPr>
            </w:pPr>
            <w:r w:rsidRPr="00FA28FF">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E57BD0E" wp14:editId="1AA72506">
                      <wp:simplePos x="0" y="0"/>
                      <wp:positionH relativeFrom="column">
                        <wp:posOffset>1715741</wp:posOffset>
                      </wp:positionH>
                      <wp:positionV relativeFrom="paragraph">
                        <wp:posOffset>40541</wp:posOffset>
                      </wp:positionV>
                      <wp:extent cx="2110359" cy="6096"/>
                      <wp:effectExtent l="0" t="0" r="23495" b="32385"/>
                      <wp:wrapNone/>
                      <wp:docPr id="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359" cy="6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7F61D0" id="Line 1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2pt" to="301.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V0swEAAEsDAAAOAAAAZHJzL2Uyb0RvYy54bWysU8tu2zAQvBfoPxC815Jc2KgFyzk4TS9p&#10;ayDpB6xJSiJCcQkubcl/X5KR3detiA4EuY/Z2dnV9m4aDDsrTxptw6tFyZmyAqW2XcN/PD98+MQZ&#10;BbASDFrV8Isifrd7/247ulotsUcjlWcRxFI9uob3Ibi6KEj0agBaoFM2Olv0A4T49F0hPYwRfTDF&#10;sizXxYheOo9CEUXr/auT7zJ+2yoRvrctqcBMwyO3kE+fz2M6i90W6s6D67WYacB/sBhA21j0BnUP&#10;AdjJ63+gBi08ErZhIXAosG21ULmH2E1V/tXNUw9O5V6iOORuMtHbwYpv5709+ERdTPbJPaJ4IWZx&#10;34PtVCbwfHFxcFWSqhgd1beU9CB38Ow4fkUZY+AUMKswtX5IkLE/NmWxLzex1RSYiMZlVZUfVxvO&#10;RPSty806F4D6mus8hS8KB5YuDTfaJimghvMjhcQF6mtIMlt80MbkcRrLxoZvVstVTiA0WiZnCiPf&#10;HffGszOkhcjfXPePMI8nKzNYr0B+nu8BtHm9x+LGznokCdK+UX1EeTn4q05xYpnlvF1pJX5/5+xf&#10;/8DuJwAAAP//AwBQSwMEFAAGAAgAAAAhAKJtdtXcAAAABwEAAA8AAABkcnMvZG93bnJldi54bWxM&#10;jsFOwzAQRO9I/IO1SFwqamNKikKcCgG5caFQ9bqNlyQiXqex2wa+HnOC42hGb16xmlwvjjSGzrOB&#10;67kCQVx723Fj4P2turoDESKyxd4zGfiiAKvy/KzA3PoTv9JxHRuRIBxyNNDGOORShrolh2HuB+LU&#10;ffjRYUxxbKQd8ZTgrpdaqUw67Dg9tDjQY0v15/rgDIRqQ/vqe1bP1Pam8aT3Ty/PaMzlxfRwDyLS&#10;FP/G8Kuf1KFMTjt/YBtEb0AvlU5TA9kCROozpW9B7AwsFyDLQv73L38AAAD//wMAUEsBAi0AFAAG&#10;AAgAAAAhALaDOJL+AAAA4QEAABMAAAAAAAAAAAAAAAAAAAAAAFtDb250ZW50X1R5cGVzXS54bWxQ&#10;SwECLQAUAAYACAAAACEAOP0h/9YAAACUAQAACwAAAAAAAAAAAAAAAAAvAQAAX3JlbHMvLnJlbHNQ&#10;SwECLQAUAAYACAAAACEAYaRVdLMBAABLAwAADgAAAAAAAAAAAAAAAAAuAgAAZHJzL2Uyb0RvYy54&#10;bWxQSwECLQAUAAYACAAAACEAom121dwAAAAHAQAADwAAAAAAAAAAAAAAAAANBAAAZHJzL2Rvd25y&#10;ZXYueG1sUEsFBgAAAAAEAAQA8wAAABYFAAAAAA==&#10;"/>
                  </w:pict>
                </mc:Fallback>
              </mc:AlternateContent>
            </w:r>
          </w:p>
          <w:p w14:paraId="55ECF6DE" w14:textId="466CC0D6" w:rsidR="00B22077" w:rsidRPr="00FA28FF" w:rsidRDefault="000768AC" w:rsidP="00413445">
            <w:pPr>
              <w:ind w:hanging="89"/>
              <w:jc w:val="center"/>
              <w:rPr>
                <w:rFonts w:ascii="Times New Roman" w:hAnsi="Times New Roman"/>
                <w:b/>
                <w:color w:val="000000" w:themeColor="text1"/>
                <w:sz w:val="28"/>
                <w:szCs w:val="28"/>
              </w:rPr>
            </w:pPr>
            <w:r w:rsidRPr="00FA28FF">
              <w:rPr>
                <w:rFonts w:ascii="Times New Roman" w:hAnsi="Times New Roman"/>
                <w:i/>
                <w:color w:val="000000" w:themeColor="text1"/>
                <w:sz w:val="26"/>
                <w:szCs w:val="28"/>
              </w:rPr>
              <w:t xml:space="preserve">    </w:t>
            </w:r>
            <w:r w:rsidR="00B22077" w:rsidRPr="00FA28FF">
              <w:rPr>
                <w:rFonts w:ascii="Times New Roman" w:hAnsi="Times New Roman"/>
                <w:i/>
                <w:color w:val="000000" w:themeColor="text1"/>
                <w:sz w:val="26"/>
                <w:szCs w:val="28"/>
              </w:rPr>
              <w:t xml:space="preserve">Hà Nội, ngày </w:t>
            </w:r>
            <w:r w:rsidR="00F2010D" w:rsidRPr="00FA28FF">
              <w:rPr>
                <w:rFonts w:ascii="Times New Roman" w:hAnsi="Times New Roman"/>
                <w:i/>
                <w:color w:val="000000" w:themeColor="text1"/>
                <w:sz w:val="26"/>
                <w:szCs w:val="28"/>
              </w:rPr>
              <w:t>05</w:t>
            </w:r>
            <w:r w:rsidR="00B22077" w:rsidRPr="00FA28FF">
              <w:rPr>
                <w:rFonts w:ascii="Times New Roman" w:hAnsi="Times New Roman"/>
                <w:i/>
                <w:color w:val="000000" w:themeColor="text1"/>
                <w:sz w:val="26"/>
                <w:szCs w:val="28"/>
              </w:rPr>
              <w:t xml:space="preserve">  tháng </w:t>
            </w:r>
            <w:r w:rsidR="00E67A45" w:rsidRPr="00FA28FF">
              <w:rPr>
                <w:rFonts w:ascii="Times New Roman" w:hAnsi="Times New Roman"/>
                <w:i/>
                <w:color w:val="000000" w:themeColor="text1"/>
                <w:sz w:val="26"/>
                <w:szCs w:val="28"/>
              </w:rPr>
              <w:t xml:space="preserve"> </w:t>
            </w:r>
            <w:r w:rsidR="0025713C" w:rsidRPr="00FA28FF">
              <w:rPr>
                <w:rFonts w:ascii="Times New Roman" w:hAnsi="Times New Roman"/>
                <w:i/>
                <w:color w:val="000000" w:themeColor="text1"/>
                <w:sz w:val="26"/>
                <w:szCs w:val="28"/>
              </w:rPr>
              <w:t>6</w:t>
            </w:r>
            <w:r w:rsidR="00B22077" w:rsidRPr="00FA28FF">
              <w:rPr>
                <w:rFonts w:ascii="Times New Roman" w:hAnsi="Times New Roman"/>
                <w:i/>
                <w:color w:val="000000" w:themeColor="text1"/>
                <w:sz w:val="26"/>
                <w:szCs w:val="28"/>
              </w:rPr>
              <w:t xml:space="preserve"> </w:t>
            </w:r>
            <w:r w:rsidR="00E67A45" w:rsidRPr="00FA28FF">
              <w:rPr>
                <w:rFonts w:ascii="Times New Roman" w:hAnsi="Times New Roman"/>
                <w:i/>
                <w:color w:val="000000" w:themeColor="text1"/>
                <w:sz w:val="26"/>
                <w:szCs w:val="28"/>
              </w:rPr>
              <w:t xml:space="preserve"> năm 2026</w:t>
            </w:r>
          </w:p>
        </w:tc>
      </w:tr>
    </w:tbl>
    <w:p w14:paraId="45D75AE4" w14:textId="77777777" w:rsidR="00B22077" w:rsidRPr="00FA28FF" w:rsidRDefault="00B22077" w:rsidP="00B22077">
      <w:pPr>
        <w:rPr>
          <w:rFonts w:ascii="Times New Roman" w:hAnsi="Times New Roman"/>
          <w:color w:val="000000" w:themeColor="text1"/>
          <w:sz w:val="8"/>
          <w:szCs w:val="28"/>
        </w:rPr>
      </w:pPr>
    </w:p>
    <w:p w14:paraId="72914983" w14:textId="78FDC4E3" w:rsidR="00AD2675" w:rsidRPr="00FA28FF" w:rsidRDefault="00DD5CBE" w:rsidP="00DD5CBE">
      <w:pPr>
        <w:spacing w:before="80"/>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BẢN TỔNG HỢP</w:t>
      </w:r>
    </w:p>
    <w:p w14:paraId="0BC53A18" w14:textId="77777777" w:rsidR="00DD5CBE" w:rsidRPr="00FA28FF" w:rsidRDefault="00DD5CBE" w:rsidP="00DD5CBE">
      <w:pPr>
        <w:spacing w:before="80"/>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 xml:space="preserve">Ý kiến, tiếp thu, giải trình ý kiến góp ý đối với dự thảo Quyết định ban hành </w:t>
      </w:r>
    </w:p>
    <w:p w14:paraId="0B63E2D5" w14:textId="39ABB82C" w:rsidR="00DD5CBE" w:rsidRPr="00FA28FF" w:rsidRDefault="00DD5CBE" w:rsidP="00DD5CBE">
      <w:pPr>
        <w:spacing w:before="80"/>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Quy chế phối hợp quản lý hoạt động hóa chất trên địa bàn thành phố Hà Nội</w:t>
      </w:r>
    </w:p>
    <w:p w14:paraId="3E871FE7" w14:textId="77777777" w:rsidR="00DD5CBE" w:rsidRPr="00FA28FF" w:rsidRDefault="00DD5CBE" w:rsidP="00DD5CBE">
      <w:pPr>
        <w:spacing w:before="80"/>
        <w:jc w:val="center"/>
        <w:rPr>
          <w:rFonts w:ascii="Times New Roman" w:hAnsi="Times New Roman"/>
          <w:b/>
          <w:bCs/>
          <w:color w:val="000000" w:themeColor="text1"/>
          <w:spacing w:val="-4"/>
          <w:sz w:val="28"/>
          <w:szCs w:val="28"/>
        </w:rPr>
      </w:pPr>
    </w:p>
    <w:p w14:paraId="0CE41C28" w14:textId="4FE2DD23" w:rsidR="00DD5CBE" w:rsidRPr="00FA28FF" w:rsidRDefault="00DD5CBE" w:rsidP="00DD5CBE">
      <w:pPr>
        <w:spacing w:before="80"/>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Căn cứ Luật Ban hành văn bản quy phạm pháp luật, Sở Công Thương Hà Nội chủ trì soạn thảo đã tổ chức lấy ý kiến góp ý đối với dự thảo Quyết định ban hành Quy chế phối hợp quản lý hoạt động hóa chất trên địa bàn thành phố Hà Nội.</w:t>
      </w:r>
    </w:p>
    <w:p w14:paraId="3BC67CA7" w14:textId="3DCFC887" w:rsidR="00DD5CBE" w:rsidRPr="00FA28FF" w:rsidRDefault="00DD5CBE" w:rsidP="00DD5CBE">
      <w:pPr>
        <w:spacing w:before="80"/>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1. Tổng số cơ quan, tổ chức, cá nhân đã gửi xin ý kiến</w:t>
      </w:r>
      <w:r w:rsidR="00263090" w:rsidRPr="00FA28FF">
        <w:rPr>
          <w:rFonts w:ascii="Times New Roman" w:hAnsi="Times New Roman"/>
          <w:color w:val="000000" w:themeColor="text1"/>
          <w:spacing w:val="-4"/>
          <w:sz w:val="28"/>
          <w:szCs w:val="28"/>
        </w:rPr>
        <w:t>: 1</w:t>
      </w:r>
      <w:r w:rsidR="0025713C" w:rsidRPr="00FA28FF">
        <w:rPr>
          <w:rFonts w:ascii="Times New Roman" w:hAnsi="Times New Roman"/>
          <w:color w:val="000000" w:themeColor="text1"/>
          <w:spacing w:val="-4"/>
          <w:sz w:val="28"/>
          <w:szCs w:val="28"/>
        </w:rPr>
        <w:t>47</w:t>
      </w:r>
      <w:r w:rsidRPr="00FA28FF">
        <w:rPr>
          <w:rFonts w:ascii="Times New Roman" w:hAnsi="Times New Roman"/>
          <w:color w:val="000000" w:themeColor="text1"/>
          <w:spacing w:val="-4"/>
          <w:sz w:val="28"/>
          <w:szCs w:val="28"/>
        </w:rPr>
        <w:t xml:space="preserve"> và tổng số ý kiến nhận được</w:t>
      </w:r>
      <w:r w:rsidR="005230DA" w:rsidRPr="00FA28FF">
        <w:rPr>
          <w:rFonts w:ascii="Times New Roman" w:hAnsi="Times New Roman"/>
          <w:color w:val="000000" w:themeColor="text1"/>
          <w:spacing w:val="-4"/>
          <w:sz w:val="28"/>
          <w:szCs w:val="28"/>
        </w:rPr>
        <w:t xml:space="preserve">: </w:t>
      </w:r>
      <w:r w:rsidR="00FA28FF" w:rsidRPr="00FA28FF">
        <w:rPr>
          <w:rFonts w:ascii="Times New Roman" w:hAnsi="Times New Roman"/>
          <w:color w:val="000000" w:themeColor="text1"/>
          <w:spacing w:val="-4"/>
          <w:sz w:val="28"/>
          <w:szCs w:val="28"/>
        </w:rPr>
        <w:t>137 (cho 2 lần xin ý kiến)</w:t>
      </w:r>
      <w:r w:rsidRPr="00FA28FF">
        <w:rPr>
          <w:rFonts w:ascii="Times New Roman" w:hAnsi="Times New Roman"/>
          <w:color w:val="000000" w:themeColor="text1"/>
          <w:spacing w:val="-4"/>
          <w:sz w:val="28"/>
          <w:szCs w:val="28"/>
        </w:rPr>
        <w:t xml:space="preserve">. </w:t>
      </w:r>
    </w:p>
    <w:p w14:paraId="58672987" w14:textId="4D4A7064" w:rsidR="00DD5CBE" w:rsidRPr="00FA28FF" w:rsidRDefault="00DD5CBE" w:rsidP="00DD5CBE">
      <w:pPr>
        <w:spacing w:before="80"/>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2. Kết quả cụ thể như sau:</w:t>
      </w:r>
    </w:p>
    <w:p w14:paraId="3A398B2C" w14:textId="77777777" w:rsidR="00DD5CBE" w:rsidRPr="00FA28FF" w:rsidRDefault="00DD5CBE" w:rsidP="00DD5CBE">
      <w:pPr>
        <w:spacing w:before="80"/>
        <w:jc w:val="both"/>
        <w:rPr>
          <w:rFonts w:ascii="Times New Roman" w:hAnsi="Times New Roman"/>
          <w:color w:val="000000" w:themeColor="text1"/>
          <w:spacing w:val="-4"/>
          <w:sz w:val="28"/>
          <w:szCs w:val="28"/>
        </w:rPr>
      </w:pPr>
    </w:p>
    <w:tbl>
      <w:tblPr>
        <w:tblStyle w:val="TableGrid"/>
        <w:tblW w:w="0" w:type="auto"/>
        <w:tblLook w:val="04A0" w:firstRow="1" w:lastRow="0" w:firstColumn="1" w:lastColumn="0" w:noHBand="0" w:noVBand="1"/>
      </w:tblPr>
      <w:tblGrid>
        <w:gridCol w:w="2405"/>
        <w:gridCol w:w="2977"/>
        <w:gridCol w:w="6095"/>
        <w:gridCol w:w="3085"/>
      </w:tblGrid>
      <w:tr w:rsidR="00FA28FF" w:rsidRPr="00FA28FF" w14:paraId="2580643E" w14:textId="77777777" w:rsidTr="004E5448">
        <w:tc>
          <w:tcPr>
            <w:tcW w:w="2405" w:type="dxa"/>
          </w:tcPr>
          <w:p w14:paraId="0238E133" w14:textId="4CF5CBC9" w:rsidR="00DD5CBE" w:rsidRPr="00FA28FF" w:rsidRDefault="00DD5CBE" w:rsidP="00DD5CBE">
            <w:pPr>
              <w:spacing w:before="120" w:after="120" w:line="320" w:lineRule="exact"/>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Nhóm vấn đề</w:t>
            </w:r>
            <w:r w:rsidR="004E2410" w:rsidRPr="00FA28FF">
              <w:rPr>
                <w:rFonts w:ascii="Times New Roman" w:hAnsi="Times New Roman"/>
                <w:b/>
                <w:bCs/>
                <w:color w:val="000000" w:themeColor="text1"/>
                <w:spacing w:val="-4"/>
                <w:sz w:val="28"/>
                <w:szCs w:val="28"/>
              </w:rPr>
              <w:t xml:space="preserve">, </w:t>
            </w:r>
            <w:r w:rsidRPr="00FA28FF">
              <w:rPr>
                <w:rFonts w:ascii="Times New Roman" w:hAnsi="Times New Roman"/>
                <w:b/>
                <w:bCs/>
                <w:color w:val="000000" w:themeColor="text1"/>
                <w:spacing w:val="-4"/>
                <w:sz w:val="28"/>
                <w:szCs w:val="28"/>
              </w:rPr>
              <w:t>điều khoản</w:t>
            </w:r>
          </w:p>
        </w:tc>
        <w:tc>
          <w:tcPr>
            <w:tcW w:w="2977" w:type="dxa"/>
          </w:tcPr>
          <w:p w14:paraId="5B241F45" w14:textId="3C6444A3" w:rsidR="00DD5CBE" w:rsidRPr="00FA28FF" w:rsidRDefault="00DD5CBE" w:rsidP="00DD5CBE">
            <w:pPr>
              <w:spacing w:before="120" w:after="120" w:line="320" w:lineRule="exact"/>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Chủ thể góp ý</w:t>
            </w:r>
          </w:p>
        </w:tc>
        <w:tc>
          <w:tcPr>
            <w:tcW w:w="6095" w:type="dxa"/>
          </w:tcPr>
          <w:p w14:paraId="13D07E52" w14:textId="38F05A65" w:rsidR="00DD5CBE" w:rsidRPr="00FA28FF" w:rsidRDefault="00DD5CBE" w:rsidP="00DD5CBE">
            <w:pPr>
              <w:spacing w:before="120" w:after="120" w:line="320" w:lineRule="exact"/>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Nội dung góp ý</w:t>
            </w:r>
          </w:p>
        </w:tc>
        <w:tc>
          <w:tcPr>
            <w:tcW w:w="3085" w:type="dxa"/>
          </w:tcPr>
          <w:p w14:paraId="408ABCF9" w14:textId="2ADFDE1A" w:rsidR="00DD5CBE" w:rsidRPr="00FA28FF" w:rsidRDefault="00DD5CBE" w:rsidP="00DD5CBE">
            <w:pPr>
              <w:spacing w:before="120" w:after="120" w:line="320" w:lineRule="exact"/>
              <w:jc w:val="center"/>
              <w:rPr>
                <w:rFonts w:ascii="Times New Roman" w:hAnsi="Times New Roman"/>
                <w:b/>
                <w:bCs/>
                <w:color w:val="000000" w:themeColor="text1"/>
                <w:spacing w:val="-4"/>
                <w:sz w:val="28"/>
                <w:szCs w:val="28"/>
              </w:rPr>
            </w:pPr>
            <w:r w:rsidRPr="00FA28FF">
              <w:rPr>
                <w:rFonts w:ascii="Times New Roman" w:hAnsi="Times New Roman"/>
                <w:b/>
                <w:bCs/>
                <w:color w:val="000000" w:themeColor="text1"/>
                <w:spacing w:val="-4"/>
                <w:sz w:val="28"/>
                <w:szCs w:val="28"/>
              </w:rPr>
              <w:t>Nội dung tiếp thu/ giải trình</w:t>
            </w:r>
          </w:p>
        </w:tc>
      </w:tr>
      <w:tr w:rsidR="00FA28FF" w:rsidRPr="00FA28FF" w14:paraId="141CDA0F" w14:textId="77777777" w:rsidTr="002E5725">
        <w:tc>
          <w:tcPr>
            <w:tcW w:w="2405" w:type="dxa"/>
          </w:tcPr>
          <w:p w14:paraId="2F41CC82" w14:textId="77777777"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p>
        </w:tc>
        <w:tc>
          <w:tcPr>
            <w:tcW w:w="2977" w:type="dxa"/>
          </w:tcPr>
          <w:p w14:paraId="0A4F53EC" w14:textId="6116800E"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Mặt trận tổ quốc Việt Nam thành phố Hà Nội </w:t>
            </w:r>
          </w:p>
        </w:tc>
        <w:tc>
          <w:tcPr>
            <w:tcW w:w="6095" w:type="dxa"/>
          </w:tcPr>
          <w:p w14:paraId="20533D28" w14:textId="514E2D5E"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VB số 588/MTTQ-BTT ngày 11/5/2026 có ý kiến đề nghị nghiên cứu bổ sung nội dung phối hợp tuyên truyền, vận động Nhân dân tham gia giám sát việc chấp hành các quy định pháp luật về hoạt động hóa chất tại khu dân cư tại Diều 4; Đề nghị nghiên cứu bổ sung hình thức phối hợp thông qua hệ thống thông tin, cơ sở dữ liệu dùng chung hoặc đầu mối thông tin liên thông giữa các cơ quan quản lý nhằm bảo đảm kịp thời chia sẻ thông tin, cảnh báo nguy cơ và xử lý sự cố hóa chất. tại Điều 5; Đề nghị nghiên cứu bổ sung nội dung “</w:t>
            </w:r>
            <w:bookmarkStart w:id="1" w:name="_Hlk231794774"/>
            <w:r w:rsidRPr="00FA28FF">
              <w:rPr>
                <w:rFonts w:ascii="Times New Roman" w:hAnsi="Times New Roman"/>
                <w:color w:val="000000" w:themeColor="text1"/>
                <w:spacing w:val="-4"/>
                <w:sz w:val="28"/>
                <w:szCs w:val="28"/>
              </w:rPr>
              <w:t xml:space="preserve">tăng cường công khai thông tin, tuyên truyền, hướng dẫn kỹ </w:t>
            </w:r>
            <w:r w:rsidRPr="00FA28FF">
              <w:rPr>
                <w:rFonts w:ascii="Times New Roman" w:hAnsi="Times New Roman"/>
                <w:color w:val="000000" w:themeColor="text1"/>
                <w:spacing w:val="-4"/>
                <w:sz w:val="28"/>
                <w:szCs w:val="28"/>
              </w:rPr>
              <w:lastRenderedPageBreak/>
              <w:t xml:space="preserve">năng phòng ngừa, ứng phó sự cố hóa chất </w:t>
            </w:r>
            <w:bookmarkEnd w:id="1"/>
            <w:r w:rsidRPr="00FA28FF">
              <w:rPr>
                <w:rFonts w:ascii="Times New Roman" w:hAnsi="Times New Roman"/>
                <w:color w:val="000000" w:themeColor="text1"/>
                <w:spacing w:val="-4"/>
                <w:sz w:val="28"/>
                <w:szCs w:val="28"/>
              </w:rPr>
              <w:t xml:space="preserve">cho người dân tại khu vực có nguy cơ cao tại Điều 6. Đề nghị nghiên cứu bổ sung trách nhiệm </w:t>
            </w:r>
            <w:bookmarkStart w:id="2" w:name="_Hlk231794858"/>
            <w:r w:rsidRPr="00FA28FF">
              <w:rPr>
                <w:rFonts w:ascii="Times New Roman" w:hAnsi="Times New Roman"/>
                <w:color w:val="000000" w:themeColor="text1"/>
                <w:spacing w:val="-4"/>
                <w:sz w:val="28"/>
                <w:szCs w:val="28"/>
              </w:rPr>
              <w:t>phối hợp với MTTQ và các tổ chức chính trị - xã hội cùng cấp trong công tác tuyên truyền, vận động Nhân dân tham gia giám sát, phát hiện, phản ánh các hành vi vi phạm quy định về hoạt động hóa chất trên địa bàn tại điều 17</w:t>
            </w:r>
            <w:bookmarkEnd w:id="2"/>
            <w:r w:rsidRPr="00FA28FF">
              <w:rPr>
                <w:rFonts w:ascii="Times New Roman" w:hAnsi="Times New Roman"/>
                <w:color w:val="000000" w:themeColor="text1"/>
                <w:spacing w:val="-4"/>
                <w:sz w:val="28"/>
                <w:szCs w:val="28"/>
              </w:rPr>
              <w:t xml:space="preserve">. </w:t>
            </w:r>
          </w:p>
        </w:tc>
        <w:tc>
          <w:tcPr>
            <w:tcW w:w="3085" w:type="dxa"/>
          </w:tcPr>
          <w:p w14:paraId="345DF8C1" w14:textId="6F0605EA"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lastRenderedPageBreak/>
              <w:t xml:space="preserve">Tiếp thu ý kiến và đã bổ sung vào </w:t>
            </w:r>
            <w:r w:rsidR="00F2010D" w:rsidRPr="00FA28FF">
              <w:rPr>
                <w:rFonts w:ascii="Times New Roman" w:hAnsi="Times New Roman"/>
                <w:color w:val="000000" w:themeColor="text1"/>
                <w:spacing w:val="-4"/>
                <w:sz w:val="28"/>
                <w:szCs w:val="28"/>
              </w:rPr>
              <w:t>Điều 6 và Điều 17 dự thảo Quy chế</w:t>
            </w:r>
            <w:r w:rsidRPr="00FA28FF">
              <w:rPr>
                <w:rFonts w:ascii="Times New Roman" w:hAnsi="Times New Roman"/>
                <w:color w:val="000000" w:themeColor="text1"/>
                <w:spacing w:val="-4"/>
                <w:sz w:val="28"/>
                <w:szCs w:val="28"/>
              </w:rPr>
              <w:t>.</w:t>
            </w:r>
          </w:p>
        </w:tc>
      </w:tr>
      <w:tr w:rsidR="00FA28FF" w:rsidRPr="00FA28FF" w14:paraId="21BAFF03" w14:textId="77777777" w:rsidTr="002E5725">
        <w:tc>
          <w:tcPr>
            <w:tcW w:w="2405" w:type="dxa"/>
          </w:tcPr>
          <w:p w14:paraId="744B60B8" w14:textId="77777777" w:rsidR="00C65CDE" w:rsidRPr="00FA28FF" w:rsidRDefault="00C65CDE" w:rsidP="002E5725">
            <w:pPr>
              <w:spacing w:before="120" w:after="120" w:line="320" w:lineRule="exact"/>
              <w:jc w:val="both"/>
              <w:rPr>
                <w:rFonts w:ascii="Times New Roman" w:hAnsi="Times New Roman"/>
                <w:color w:val="000000" w:themeColor="text1"/>
                <w:spacing w:val="-4"/>
                <w:sz w:val="28"/>
                <w:szCs w:val="28"/>
              </w:rPr>
            </w:pPr>
          </w:p>
        </w:tc>
        <w:tc>
          <w:tcPr>
            <w:tcW w:w="2977" w:type="dxa"/>
          </w:tcPr>
          <w:p w14:paraId="0ACA651D" w14:textId="0D1E0A1B" w:rsidR="00C65CDE" w:rsidRPr="00FA28FF" w:rsidRDefault="00C65CDE"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Sở Tài chính </w:t>
            </w:r>
          </w:p>
        </w:tc>
        <w:tc>
          <w:tcPr>
            <w:tcW w:w="6095" w:type="dxa"/>
          </w:tcPr>
          <w:p w14:paraId="1195BD2A" w14:textId="11FF8F2B" w:rsidR="00C65CDE" w:rsidRPr="00FA28FF" w:rsidRDefault="00C65CDE"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VB số 6554/STC-TCHCSN ngày 05/5/2026 có ý kiến Sở Công Thương không báo cáo phát sinh kinh phí ngân sách sau khi ban hành quy chế mới. Do vậy, Sở Tài chính đề nghị Sở Công Thương rà soát đảm bảo không phát sinh tăng chi ngân sách khi chưa có nguồn đảm bảo.</w:t>
            </w:r>
          </w:p>
        </w:tc>
        <w:tc>
          <w:tcPr>
            <w:tcW w:w="3085" w:type="dxa"/>
          </w:tcPr>
          <w:p w14:paraId="3886AD81" w14:textId="319DCE02" w:rsidR="00C65CDE" w:rsidRPr="00FA28FF" w:rsidRDefault="00C65CDE"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Tiếp thu ý kiến và đã bổ sung vào dự thảo Tờ trình, Báo cáo đánh giá tác động.</w:t>
            </w:r>
          </w:p>
        </w:tc>
      </w:tr>
      <w:tr w:rsidR="00FA28FF" w:rsidRPr="00FA28FF" w14:paraId="0B914134" w14:textId="77777777" w:rsidTr="002E5725">
        <w:tc>
          <w:tcPr>
            <w:tcW w:w="2405" w:type="dxa"/>
          </w:tcPr>
          <w:p w14:paraId="584C6078" w14:textId="77777777"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p>
        </w:tc>
        <w:tc>
          <w:tcPr>
            <w:tcW w:w="2977" w:type="dxa"/>
          </w:tcPr>
          <w:p w14:paraId="051DB656" w14:textId="47070863"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Sở Tư pháp </w:t>
            </w:r>
          </w:p>
        </w:tc>
        <w:tc>
          <w:tcPr>
            <w:tcW w:w="6095" w:type="dxa"/>
          </w:tcPr>
          <w:p w14:paraId="5FE8B371" w14:textId="13E92059"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Chưa có ý kiến.</w:t>
            </w:r>
          </w:p>
        </w:tc>
        <w:tc>
          <w:tcPr>
            <w:tcW w:w="3085" w:type="dxa"/>
          </w:tcPr>
          <w:p w14:paraId="7D38EAB6" w14:textId="77777777" w:rsidR="00627706" w:rsidRPr="00FA28FF" w:rsidRDefault="00627706" w:rsidP="002E5725">
            <w:pPr>
              <w:spacing w:before="120" w:after="120" w:line="320" w:lineRule="exact"/>
              <w:jc w:val="both"/>
              <w:rPr>
                <w:rFonts w:ascii="Times New Roman" w:hAnsi="Times New Roman"/>
                <w:color w:val="000000" w:themeColor="text1"/>
                <w:spacing w:val="-4"/>
                <w:sz w:val="28"/>
                <w:szCs w:val="28"/>
              </w:rPr>
            </w:pPr>
          </w:p>
        </w:tc>
      </w:tr>
      <w:tr w:rsidR="00FA28FF" w:rsidRPr="00FA28FF" w14:paraId="46909E27" w14:textId="77777777" w:rsidTr="002E5725">
        <w:tc>
          <w:tcPr>
            <w:tcW w:w="2405" w:type="dxa"/>
          </w:tcPr>
          <w:p w14:paraId="040B0CD4" w14:textId="77777777" w:rsidR="00500CE9" w:rsidRPr="00FA28FF" w:rsidRDefault="00500CE9" w:rsidP="002E5725">
            <w:pPr>
              <w:spacing w:before="120" w:after="120" w:line="320" w:lineRule="exact"/>
              <w:jc w:val="both"/>
              <w:rPr>
                <w:rFonts w:ascii="Times New Roman" w:hAnsi="Times New Roman"/>
                <w:color w:val="000000" w:themeColor="text1"/>
                <w:spacing w:val="-4"/>
                <w:sz w:val="28"/>
                <w:szCs w:val="28"/>
              </w:rPr>
            </w:pPr>
          </w:p>
        </w:tc>
        <w:tc>
          <w:tcPr>
            <w:tcW w:w="2977" w:type="dxa"/>
          </w:tcPr>
          <w:p w14:paraId="36F7C150" w14:textId="5D712AF0" w:rsidR="00500CE9" w:rsidRPr="00FA28FF" w:rsidRDefault="00500CE9"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Sở Giáo dục và Đào tạo </w:t>
            </w:r>
          </w:p>
        </w:tc>
        <w:tc>
          <w:tcPr>
            <w:tcW w:w="6095" w:type="dxa"/>
          </w:tcPr>
          <w:p w14:paraId="59BFD88D" w14:textId="642E4D38" w:rsidR="00500CE9" w:rsidRPr="00FA28FF" w:rsidRDefault="00500CE9" w:rsidP="002E572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VB số 1888/SGDĐT-CTTTHSSV ngày 05/5/2026 nhất trí với nội dung dự thảo.</w:t>
            </w:r>
          </w:p>
        </w:tc>
        <w:tc>
          <w:tcPr>
            <w:tcW w:w="3085" w:type="dxa"/>
          </w:tcPr>
          <w:p w14:paraId="2FE385CC" w14:textId="77777777" w:rsidR="00500CE9" w:rsidRPr="00FA28FF" w:rsidRDefault="00500CE9" w:rsidP="002E5725">
            <w:pPr>
              <w:spacing w:before="120" w:after="120" w:line="320" w:lineRule="exact"/>
              <w:jc w:val="both"/>
              <w:rPr>
                <w:rFonts w:ascii="Times New Roman" w:hAnsi="Times New Roman"/>
                <w:color w:val="000000" w:themeColor="text1"/>
                <w:spacing w:val="-4"/>
                <w:sz w:val="28"/>
                <w:szCs w:val="28"/>
              </w:rPr>
            </w:pPr>
          </w:p>
        </w:tc>
      </w:tr>
      <w:tr w:rsidR="00FA28FF" w:rsidRPr="00FA28FF" w14:paraId="2DB14720" w14:textId="77777777" w:rsidTr="004E5448">
        <w:tc>
          <w:tcPr>
            <w:tcW w:w="2405" w:type="dxa"/>
          </w:tcPr>
          <w:p w14:paraId="7EF4F560"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c>
          <w:tcPr>
            <w:tcW w:w="2977" w:type="dxa"/>
          </w:tcPr>
          <w:p w14:paraId="1676728B" w14:textId="55300EE0" w:rsidR="00443506" w:rsidRPr="00FA28FF" w:rsidRDefault="0002787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Sở Y tế</w:t>
            </w:r>
            <w:r w:rsidR="00443506" w:rsidRPr="00FA28FF">
              <w:rPr>
                <w:rFonts w:ascii="Times New Roman" w:hAnsi="Times New Roman"/>
                <w:color w:val="000000" w:themeColor="text1"/>
                <w:spacing w:val="-4"/>
                <w:sz w:val="28"/>
                <w:szCs w:val="28"/>
              </w:rPr>
              <w:t xml:space="preserve"> </w:t>
            </w:r>
          </w:p>
        </w:tc>
        <w:tc>
          <w:tcPr>
            <w:tcW w:w="6095" w:type="dxa"/>
          </w:tcPr>
          <w:p w14:paraId="5914EBFA" w14:textId="344C06DB" w:rsidR="00443506" w:rsidRPr="00FA28FF" w:rsidRDefault="009A55BF"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VB số 3347/SYT-NVD ngày 19/4/2026 nhất trí với nội dung dự thảo.</w:t>
            </w:r>
          </w:p>
        </w:tc>
        <w:tc>
          <w:tcPr>
            <w:tcW w:w="3085" w:type="dxa"/>
          </w:tcPr>
          <w:p w14:paraId="12ADB97A"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r>
      <w:tr w:rsidR="00FA28FF" w:rsidRPr="00FA28FF" w14:paraId="07EDD3FD" w14:textId="77777777" w:rsidTr="004E5448">
        <w:tc>
          <w:tcPr>
            <w:tcW w:w="2405" w:type="dxa"/>
          </w:tcPr>
          <w:p w14:paraId="05026D3F"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c>
          <w:tcPr>
            <w:tcW w:w="2977" w:type="dxa"/>
          </w:tcPr>
          <w:p w14:paraId="4925BC77" w14:textId="5DF086E5"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Sở Nông nghiệp và Môi trường</w:t>
            </w:r>
          </w:p>
        </w:tc>
        <w:tc>
          <w:tcPr>
            <w:tcW w:w="6095" w:type="dxa"/>
          </w:tcPr>
          <w:p w14:paraId="47BBEC02" w14:textId="1F8A3BD6" w:rsidR="00443506" w:rsidRPr="00FA28FF" w:rsidRDefault="0002787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VB số </w:t>
            </w:r>
            <w:r w:rsidR="009A55BF" w:rsidRPr="00FA28FF">
              <w:rPr>
                <w:rFonts w:ascii="Times New Roman" w:hAnsi="Times New Roman"/>
                <w:color w:val="000000" w:themeColor="text1"/>
                <w:spacing w:val="-4"/>
                <w:sz w:val="28"/>
                <w:szCs w:val="28"/>
              </w:rPr>
              <w:t xml:space="preserve">5180/SNNMT-TTBVTV </w:t>
            </w:r>
            <w:r w:rsidRPr="00FA28FF">
              <w:rPr>
                <w:rFonts w:ascii="Times New Roman" w:hAnsi="Times New Roman"/>
                <w:color w:val="000000" w:themeColor="text1"/>
                <w:spacing w:val="-4"/>
                <w:sz w:val="28"/>
                <w:szCs w:val="28"/>
              </w:rPr>
              <w:t>ngày 1</w:t>
            </w:r>
            <w:r w:rsidR="009A55BF" w:rsidRPr="00FA28FF">
              <w:rPr>
                <w:rFonts w:ascii="Times New Roman" w:hAnsi="Times New Roman"/>
                <w:color w:val="000000" w:themeColor="text1"/>
                <w:spacing w:val="-4"/>
                <w:sz w:val="28"/>
                <w:szCs w:val="28"/>
              </w:rPr>
              <w:t>7</w:t>
            </w:r>
            <w:r w:rsidRPr="00FA28FF">
              <w:rPr>
                <w:rFonts w:ascii="Times New Roman" w:hAnsi="Times New Roman"/>
                <w:color w:val="000000" w:themeColor="text1"/>
                <w:spacing w:val="-4"/>
                <w:sz w:val="28"/>
                <w:szCs w:val="28"/>
              </w:rPr>
              <w:t>/4/2026</w:t>
            </w:r>
            <w:r w:rsidR="00C65CDE" w:rsidRPr="00FA28FF">
              <w:rPr>
                <w:rFonts w:ascii="Times New Roman" w:hAnsi="Times New Roman"/>
                <w:color w:val="000000" w:themeColor="text1"/>
                <w:spacing w:val="-4"/>
                <w:sz w:val="28"/>
                <w:szCs w:val="28"/>
              </w:rPr>
              <w:t xml:space="preserve"> và số 6294/SNNMT-TTBVTV ngày 12/5/2026</w:t>
            </w:r>
            <w:r w:rsidRPr="00FA28FF">
              <w:rPr>
                <w:rFonts w:ascii="Times New Roman" w:hAnsi="Times New Roman"/>
                <w:color w:val="000000" w:themeColor="text1"/>
                <w:spacing w:val="-4"/>
                <w:sz w:val="28"/>
                <w:szCs w:val="28"/>
              </w:rPr>
              <w:t xml:space="preserve"> nhất trí với nội dung dự thảo</w:t>
            </w:r>
            <w:r w:rsidR="009A55BF" w:rsidRPr="00FA28FF">
              <w:rPr>
                <w:rFonts w:ascii="Times New Roman" w:hAnsi="Times New Roman"/>
                <w:color w:val="000000" w:themeColor="text1"/>
                <w:spacing w:val="-4"/>
                <w:sz w:val="28"/>
                <w:szCs w:val="28"/>
              </w:rPr>
              <w:t>.</w:t>
            </w:r>
          </w:p>
        </w:tc>
        <w:tc>
          <w:tcPr>
            <w:tcW w:w="3085" w:type="dxa"/>
          </w:tcPr>
          <w:p w14:paraId="0F59ED35"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r>
      <w:tr w:rsidR="00FA28FF" w:rsidRPr="00FA28FF" w14:paraId="3A878E57" w14:textId="77777777" w:rsidTr="004E5448">
        <w:tc>
          <w:tcPr>
            <w:tcW w:w="2405" w:type="dxa"/>
          </w:tcPr>
          <w:p w14:paraId="49EA3A32" w14:textId="3A58BE24" w:rsidR="00443506" w:rsidRPr="00FA28FF" w:rsidRDefault="004E2410"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Điều 12</w:t>
            </w:r>
          </w:p>
        </w:tc>
        <w:tc>
          <w:tcPr>
            <w:tcW w:w="2977" w:type="dxa"/>
          </w:tcPr>
          <w:p w14:paraId="39C76D3A" w14:textId="6FAA5C98"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Sở Nội vụ</w:t>
            </w:r>
          </w:p>
        </w:tc>
        <w:tc>
          <w:tcPr>
            <w:tcW w:w="6095" w:type="dxa"/>
          </w:tcPr>
          <w:p w14:paraId="1DC427EC" w14:textId="77777777" w:rsidR="00443506" w:rsidRPr="00FA28FF" w:rsidRDefault="009A55BF"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VB số 5515/SNV-SBN ngày 16/4/2026 đề nghị loại bỏ Điều 12 do các cơ sở dạy nghề do các cơ sở giáo dục nghề nghiệp do Sở Giáo dục và Đào tạo quản lý; rà soát, hoàn thiện dự thảo Quyết định theo đúng mẫu văn </w:t>
            </w:r>
            <w:r w:rsidRPr="00FA28FF">
              <w:rPr>
                <w:rFonts w:ascii="Times New Roman" w:hAnsi="Times New Roman"/>
                <w:color w:val="000000" w:themeColor="text1"/>
                <w:spacing w:val="-4"/>
                <w:sz w:val="28"/>
                <w:szCs w:val="28"/>
              </w:rPr>
              <w:lastRenderedPageBreak/>
              <w:t>bản ban hành kèm theo Nghị định số 187/2025/NĐ-CP ngày 01/7/2025 của Chính phủ.</w:t>
            </w:r>
          </w:p>
          <w:p w14:paraId="32B6147A" w14:textId="78860C8B" w:rsidR="0025713C" w:rsidRPr="00FA28FF" w:rsidRDefault="0025713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Văn bản</w:t>
            </w:r>
            <w:r w:rsidR="003A7755" w:rsidRPr="00FA28FF">
              <w:rPr>
                <w:rFonts w:ascii="Times New Roman" w:hAnsi="Times New Roman"/>
                <w:color w:val="000000" w:themeColor="text1"/>
                <w:spacing w:val="-4"/>
                <w:sz w:val="28"/>
                <w:szCs w:val="28"/>
              </w:rPr>
              <w:t xml:space="preserve"> số 3001/SCV-SBN ngày 11/5/2026 có ý kiến Sở Nội vụ đã có Văn bản số 2515/SNV-SBN ngày 16/4/2026 góp ý kiến và đã được Sở Công Thương tiếp thu, điều chỉnh</w:t>
            </w:r>
          </w:p>
        </w:tc>
        <w:tc>
          <w:tcPr>
            <w:tcW w:w="3085" w:type="dxa"/>
          </w:tcPr>
          <w:p w14:paraId="1EDA915B" w14:textId="379069CE" w:rsidR="00443506" w:rsidRPr="00FA28FF" w:rsidRDefault="009A55BF"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lastRenderedPageBreak/>
              <w:t xml:space="preserve">- </w:t>
            </w:r>
            <w:r w:rsidR="004E2410" w:rsidRPr="00FA28FF">
              <w:rPr>
                <w:rFonts w:ascii="Times New Roman" w:hAnsi="Times New Roman"/>
                <w:color w:val="000000" w:themeColor="text1"/>
                <w:spacing w:val="-4"/>
                <w:sz w:val="28"/>
                <w:szCs w:val="28"/>
              </w:rPr>
              <w:t>Đã tiếp</w:t>
            </w:r>
            <w:r w:rsidRPr="00FA28FF">
              <w:rPr>
                <w:rFonts w:ascii="Times New Roman" w:hAnsi="Times New Roman"/>
                <w:color w:val="000000" w:themeColor="text1"/>
                <w:spacing w:val="-4"/>
                <w:sz w:val="28"/>
                <w:szCs w:val="28"/>
              </w:rPr>
              <w:t xml:space="preserve"> thu ý kiến bỏ Điều 12 và điều chỉnh việc </w:t>
            </w:r>
            <w:r w:rsidRPr="00FA28FF">
              <w:rPr>
                <w:rFonts w:ascii="Times New Roman" w:hAnsi="Times New Roman"/>
                <w:color w:val="000000" w:themeColor="text1"/>
                <w:spacing w:val="-4"/>
                <w:sz w:val="28"/>
                <w:szCs w:val="28"/>
              </w:rPr>
              <w:lastRenderedPageBreak/>
              <w:t xml:space="preserve">đánh số các điều tiếp theo cho phù hợp. </w:t>
            </w:r>
          </w:p>
          <w:p w14:paraId="0E3C4DF6" w14:textId="799AC6E7" w:rsidR="009A55BF" w:rsidRPr="00FA28FF" w:rsidRDefault="004E2410"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Đã t</w:t>
            </w:r>
            <w:r w:rsidR="009A55BF" w:rsidRPr="00FA28FF">
              <w:rPr>
                <w:rFonts w:ascii="Times New Roman" w:hAnsi="Times New Roman"/>
                <w:color w:val="000000" w:themeColor="text1"/>
                <w:spacing w:val="-4"/>
                <w:sz w:val="28"/>
                <w:szCs w:val="28"/>
              </w:rPr>
              <w:t>iếp thu chỉnh sửa, hoàn thiện dự thảo Quyết định theo đúng mẫu văn bản</w:t>
            </w:r>
          </w:p>
        </w:tc>
      </w:tr>
      <w:tr w:rsidR="00FA28FF" w:rsidRPr="00FA28FF" w14:paraId="7EE4D4EC" w14:textId="77777777" w:rsidTr="004E5448">
        <w:tc>
          <w:tcPr>
            <w:tcW w:w="2405" w:type="dxa"/>
          </w:tcPr>
          <w:p w14:paraId="277B1815" w14:textId="06A715A9" w:rsidR="00443506"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lastRenderedPageBreak/>
              <w:t>Điều 2, Điều 7, Điều 13 và Điều 14.</w:t>
            </w:r>
          </w:p>
        </w:tc>
        <w:tc>
          <w:tcPr>
            <w:tcW w:w="2977" w:type="dxa"/>
          </w:tcPr>
          <w:p w14:paraId="3857A14A" w14:textId="7197889F"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Công an Thành phố</w:t>
            </w:r>
          </w:p>
        </w:tc>
        <w:tc>
          <w:tcPr>
            <w:tcW w:w="6095" w:type="dxa"/>
          </w:tcPr>
          <w:p w14:paraId="4BDF59C0" w14:textId="4562AF35" w:rsidR="00443506" w:rsidRPr="00FA28FF" w:rsidRDefault="00500CE9"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w:t>
            </w:r>
            <w:r w:rsidR="00C65CDE" w:rsidRPr="00FA28FF">
              <w:rPr>
                <w:rFonts w:ascii="Times New Roman" w:hAnsi="Times New Roman"/>
                <w:color w:val="000000" w:themeColor="text1"/>
                <w:spacing w:val="-4"/>
                <w:sz w:val="28"/>
                <w:szCs w:val="28"/>
              </w:rPr>
              <w:t xml:space="preserve"> Văn bản số </w:t>
            </w:r>
            <w:r w:rsidR="000768AC" w:rsidRPr="00FA28FF">
              <w:rPr>
                <w:rFonts w:ascii="Times New Roman" w:hAnsi="Times New Roman"/>
                <w:color w:val="000000" w:themeColor="text1"/>
                <w:spacing w:val="-4"/>
                <w:sz w:val="28"/>
                <w:szCs w:val="28"/>
              </w:rPr>
              <w:t>1761/PC04-P2 ngày 20/4/2026 của Phòng Cảnh sát điều tra tội phạm về ma túy đề nghị điều chỉnh căn cứ ban hành; bổ sung nội dung xuất khẩu, nhập khẩu tại Điều 2; bổ sung nội dung tại khoản 12 Điều 7; khoản 6 Điều 13; Điều 14.</w:t>
            </w:r>
          </w:p>
          <w:p w14:paraId="14D36E8D" w14:textId="5BAC2F83" w:rsidR="00C65CDE" w:rsidRPr="00FA28FF" w:rsidRDefault="00500CE9" w:rsidP="00500CE9">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 Văn bản số 3426a/CATP-PCCC ngày 20/5/2026 của Công an Thành phố đề nghị nghiên cứu, chỉnh sửa tại mục 3, </w:t>
            </w:r>
            <w:r w:rsidR="00F2010D" w:rsidRPr="00FA28FF">
              <w:rPr>
                <w:rFonts w:ascii="Times New Roman" w:hAnsi="Times New Roman"/>
                <w:color w:val="000000" w:themeColor="text1"/>
                <w:spacing w:val="-4"/>
                <w:sz w:val="28"/>
                <w:szCs w:val="28"/>
              </w:rPr>
              <w:t>Đ</w:t>
            </w:r>
            <w:r w:rsidRPr="00FA28FF">
              <w:rPr>
                <w:rFonts w:ascii="Times New Roman" w:hAnsi="Times New Roman"/>
                <w:color w:val="000000" w:themeColor="text1"/>
                <w:spacing w:val="-4"/>
                <w:sz w:val="28"/>
                <w:szCs w:val="28"/>
              </w:rPr>
              <w:t>iều 18 Quy chế.</w:t>
            </w:r>
          </w:p>
        </w:tc>
        <w:tc>
          <w:tcPr>
            <w:tcW w:w="3085" w:type="dxa"/>
          </w:tcPr>
          <w:p w14:paraId="0E44C276" w14:textId="5806EF58" w:rsidR="00443506"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Đã tiếp thu chỉnh sửa theo nội dung đề nghị </w:t>
            </w:r>
          </w:p>
        </w:tc>
      </w:tr>
      <w:tr w:rsidR="00FA28FF" w:rsidRPr="00FA28FF" w14:paraId="089D02F1" w14:textId="77777777" w:rsidTr="004E5448">
        <w:tc>
          <w:tcPr>
            <w:tcW w:w="2405" w:type="dxa"/>
          </w:tcPr>
          <w:p w14:paraId="2BC95A72"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c>
          <w:tcPr>
            <w:tcW w:w="2977" w:type="dxa"/>
          </w:tcPr>
          <w:p w14:paraId="669F92DD" w14:textId="71DFFC78"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Bộ Tư l</w:t>
            </w:r>
            <w:r w:rsidR="000768AC" w:rsidRPr="00FA28FF">
              <w:rPr>
                <w:rFonts w:ascii="Times New Roman" w:hAnsi="Times New Roman"/>
                <w:color w:val="000000" w:themeColor="text1"/>
                <w:spacing w:val="-4"/>
                <w:sz w:val="28"/>
                <w:szCs w:val="28"/>
              </w:rPr>
              <w:t>ệ</w:t>
            </w:r>
            <w:r w:rsidRPr="00FA28FF">
              <w:rPr>
                <w:rFonts w:ascii="Times New Roman" w:hAnsi="Times New Roman"/>
                <w:color w:val="000000" w:themeColor="text1"/>
                <w:spacing w:val="-4"/>
                <w:sz w:val="28"/>
                <w:szCs w:val="28"/>
              </w:rPr>
              <w:t>nh Thủ đô</w:t>
            </w:r>
          </w:p>
        </w:tc>
        <w:tc>
          <w:tcPr>
            <w:tcW w:w="6095" w:type="dxa"/>
          </w:tcPr>
          <w:p w14:paraId="5F83D8CE" w14:textId="77777777" w:rsidR="00443506" w:rsidRPr="00FA28FF" w:rsidRDefault="00627706" w:rsidP="000768AC">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xml:space="preserve">- </w:t>
            </w:r>
            <w:r w:rsidR="000768AC" w:rsidRPr="00FA28FF">
              <w:rPr>
                <w:rFonts w:ascii="Times New Roman" w:hAnsi="Times New Roman"/>
                <w:color w:val="000000" w:themeColor="text1"/>
                <w:spacing w:val="-4"/>
                <w:sz w:val="28"/>
                <w:szCs w:val="28"/>
              </w:rPr>
              <w:t>Văn bản số 1079/BTM-HH ngày 20/4/2026: Nhất trí với dự thảo.</w:t>
            </w:r>
          </w:p>
          <w:p w14:paraId="12D2251E" w14:textId="7085C469" w:rsidR="00627706" w:rsidRPr="00FA28FF" w:rsidRDefault="00627706" w:rsidP="000768AC">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 Văn bản số 1341/BTM-HH ngày 12/5/2026: Nhất trí với dự thảo.</w:t>
            </w:r>
          </w:p>
        </w:tc>
        <w:tc>
          <w:tcPr>
            <w:tcW w:w="3085" w:type="dxa"/>
          </w:tcPr>
          <w:p w14:paraId="22E6BAE7"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r>
      <w:tr w:rsidR="00FA28FF" w:rsidRPr="00FA28FF" w14:paraId="57C94191" w14:textId="77777777" w:rsidTr="004E5448">
        <w:tc>
          <w:tcPr>
            <w:tcW w:w="2405" w:type="dxa"/>
          </w:tcPr>
          <w:p w14:paraId="11B337AD"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p>
        </w:tc>
        <w:tc>
          <w:tcPr>
            <w:tcW w:w="2977" w:type="dxa"/>
          </w:tcPr>
          <w:p w14:paraId="236B9D46" w14:textId="77777777" w:rsidR="00443506" w:rsidRPr="00FA28FF" w:rsidRDefault="00443506"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Sở Khoa học và Công nghệ</w:t>
            </w:r>
          </w:p>
        </w:tc>
        <w:tc>
          <w:tcPr>
            <w:tcW w:w="6095" w:type="dxa"/>
          </w:tcPr>
          <w:p w14:paraId="727D4D75" w14:textId="00905356" w:rsidR="000768AC"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Văn bản số 2362/SKHCN-KH&amp;CN ngày 19/4/2026 có ý kiến:</w:t>
            </w:r>
            <w:r w:rsidR="009A0BE9" w:rsidRPr="00FA28FF">
              <w:rPr>
                <w:rFonts w:ascii="Times New Roman" w:hAnsi="Times New Roman"/>
                <w:color w:val="000000" w:themeColor="text1"/>
                <w:spacing w:val="-4"/>
                <w:sz w:val="28"/>
                <w:szCs w:val="28"/>
              </w:rPr>
              <w:t xml:space="preserve"> </w:t>
            </w:r>
            <w:r w:rsidR="009A0BE9" w:rsidRPr="00FA28FF">
              <w:rPr>
                <w:rFonts w:ascii="Times New Roman" w:hAnsi="Times New Roman"/>
                <w:b/>
                <w:bCs/>
                <w:color w:val="000000" w:themeColor="text1"/>
                <w:spacing w:val="-4"/>
                <w:sz w:val="28"/>
                <w:szCs w:val="28"/>
              </w:rPr>
              <w:t>(1)</w:t>
            </w:r>
            <w:r w:rsidR="009A0BE9" w:rsidRPr="00FA28FF">
              <w:rPr>
                <w:rFonts w:ascii="Times New Roman" w:hAnsi="Times New Roman"/>
                <w:color w:val="000000" w:themeColor="text1"/>
                <w:spacing w:val="-4"/>
                <w:sz w:val="28"/>
                <w:szCs w:val="28"/>
              </w:rPr>
              <w:t xml:space="preserve"> Tại Điều 4: Đề nghị nghiên cứu bổ sung nội dung phối hợp liên quan đến quản lý hoạt động nghiên cứu, thử nghiệm hóa chất, trong đó làm rõ: Công tác đảm bảo an toàn hóa chất trong phòng thí nghiệm; Quản lý hóa chất nguy hiểm sử dụng trong nghiên cứu khoa học; Cơ chế trao đổi, chia sẻ thông tin về hóa chất phục vụ nghiên cứu. </w:t>
            </w:r>
            <w:r w:rsidR="009A0BE9" w:rsidRPr="00FA28FF">
              <w:rPr>
                <w:rFonts w:ascii="Times New Roman" w:hAnsi="Times New Roman"/>
                <w:b/>
                <w:bCs/>
                <w:color w:val="000000" w:themeColor="text1"/>
                <w:spacing w:val="-4"/>
                <w:sz w:val="28"/>
                <w:szCs w:val="28"/>
              </w:rPr>
              <w:t>(2)</w:t>
            </w:r>
            <w:r w:rsidR="009A0BE9" w:rsidRPr="00FA28FF">
              <w:rPr>
                <w:rFonts w:ascii="Times New Roman" w:hAnsi="Times New Roman"/>
                <w:color w:val="000000" w:themeColor="text1"/>
                <w:spacing w:val="-4"/>
                <w:sz w:val="28"/>
                <w:szCs w:val="28"/>
              </w:rPr>
              <w:t xml:space="preserve"> Tại khoản 5 Điều </w:t>
            </w:r>
            <w:r w:rsidR="009A0BE9" w:rsidRPr="00FA28FF">
              <w:rPr>
                <w:rFonts w:ascii="Times New Roman" w:hAnsi="Times New Roman"/>
                <w:color w:val="000000" w:themeColor="text1"/>
                <w:spacing w:val="-4"/>
                <w:sz w:val="28"/>
                <w:szCs w:val="28"/>
              </w:rPr>
              <w:lastRenderedPageBreak/>
              <w:t xml:space="preserve">6: Đề nghị bổ sung nội dung: Sở Khoa học và Công nghệ tham gia xây dựng, kết nối và khai thác cơ sở dữ liệu về hoạt động hóa chất, đặc biệt là dữ liệu liên quan đến nghiên cứu khoa học, phòng thí nghiệm; </w:t>
            </w:r>
            <w:r w:rsidR="009A0BE9" w:rsidRPr="00FA28FF">
              <w:rPr>
                <w:rFonts w:ascii="Times New Roman" w:hAnsi="Times New Roman"/>
                <w:b/>
                <w:bCs/>
                <w:color w:val="000000" w:themeColor="text1"/>
                <w:spacing w:val="-4"/>
                <w:sz w:val="28"/>
                <w:szCs w:val="28"/>
              </w:rPr>
              <w:t>(3)</w:t>
            </w:r>
            <w:r w:rsidR="009A0BE9" w:rsidRPr="00FA28FF">
              <w:rPr>
                <w:rFonts w:ascii="Times New Roman" w:hAnsi="Times New Roman"/>
                <w:color w:val="000000" w:themeColor="text1"/>
                <w:spacing w:val="-4"/>
                <w:sz w:val="28"/>
                <w:szCs w:val="28"/>
              </w:rPr>
              <w:t xml:space="preserve"> Tại Điều 11: Đề nghị làm rõ phạm vi “các cơ sở nghiên cứu khoa học”, bao gồm: Tổ chức khoa học và công nghệ, viện nghiên cứu, trường đại học, doanh nghiệp khoa học và công nghệ, phòng thí nghiệm, trung tâm nghiên cứu… nhằm tránh chồng chéo với các cơ quan quản lý khác; chỉnh sửa theo hướng: Sở Khoa học và Công nghệ phối hợp về chuyên môn, kỹ thuật (phân tích, đánh giá, giám định) trong ứng phó sự cố hóa chất, không quy định vai trò chủ trì; làm rõ phạm vi thống kê của Sở Khoa học và Công nghệ chỉ bao gồm các tổ chức khoa học và công nghệ, phòng thí nghiệm và cơ sở nghiên cứu, tránh trùng lặp với Sở Giáo dục và Đào tạo, Sở Y tế và Sở Nội vụ; đề nghị bổ sung nhiệm vụ hướng dẫn, kiểm tra việc sử dụng hóa chất trong nghiên cứu khoa học theo quy định của pháp luật về khoa học và công nghệ; tham gia thẩm định, đánh giá điều kiện an toàn hóa chất tại các phòng thí nghiệm khi có yêu cầu; tổ chức triển khai hoạt động tiêu chuẩn, đo lường, chất lượng liên quan đến hóa chất trong lĩnh vực nghiên cứu. </w:t>
            </w:r>
            <w:r w:rsidR="009A0BE9" w:rsidRPr="00FA28FF">
              <w:rPr>
                <w:rFonts w:ascii="Times New Roman" w:hAnsi="Times New Roman"/>
                <w:b/>
                <w:bCs/>
                <w:color w:val="000000" w:themeColor="text1"/>
                <w:spacing w:val="-4"/>
                <w:sz w:val="28"/>
                <w:szCs w:val="28"/>
              </w:rPr>
              <w:t>(4)</w:t>
            </w:r>
            <w:r w:rsidR="009A0BE9" w:rsidRPr="00FA28FF">
              <w:rPr>
                <w:rFonts w:ascii="Times New Roman" w:hAnsi="Times New Roman"/>
                <w:color w:val="000000" w:themeColor="text1"/>
                <w:spacing w:val="-4"/>
                <w:sz w:val="28"/>
                <w:szCs w:val="28"/>
              </w:rPr>
              <w:t xml:space="preserve"> Điều 19: Đề nghị bổ sung cơ chế chia sẻ thông tin giữa Sở Khoa học và Công nghệ và Sở Công Thương đối với các báo cáo về sử dụng hóa chất trong nghiên cứu khoa học nhằm tránh trùng lặp trong báo cáo và nâng cao hiệu quả quản lý; bổ sung quy định về phối hợp kiểm tra đối với các phòng thí nghiệm, cơ sở nghiên cứu có sử dụng hóa chất nguy hiểm, bảo đảm </w:t>
            </w:r>
            <w:r w:rsidR="009A0BE9" w:rsidRPr="00FA28FF">
              <w:rPr>
                <w:rFonts w:ascii="Times New Roman" w:hAnsi="Times New Roman"/>
                <w:color w:val="000000" w:themeColor="text1"/>
                <w:spacing w:val="-4"/>
                <w:sz w:val="28"/>
                <w:szCs w:val="28"/>
              </w:rPr>
              <w:lastRenderedPageBreak/>
              <w:t xml:space="preserve">không chồng chéo, trùng lặp giữa các cơ quan quản lý. </w:t>
            </w:r>
            <w:r w:rsidR="009A0BE9" w:rsidRPr="00FA28FF">
              <w:rPr>
                <w:rFonts w:ascii="Times New Roman" w:hAnsi="Times New Roman"/>
                <w:b/>
                <w:bCs/>
                <w:color w:val="000000" w:themeColor="text1"/>
                <w:spacing w:val="-4"/>
                <w:sz w:val="28"/>
                <w:szCs w:val="28"/>
              </w:rPr>
              <w:t>(4)</w:t>
            </w:r>
            <w:r w:rsidR="009A0BE9" w:rsidRPr="00FA28FF">
              <w:rPr>
                <w:rFonts w:ascii="Times New Roman" w:hAnsi="Times New Roman"/>
                <w:color w:val="000000" w:themeColor="text1"/>
                <w:spacing w:val="-4"/>
                <w:sz w:val="28"/>
                <w:szCs w:val="28"/>
              </w:rPr>
              <w:t xml:space="preserve"> Đề nghị nghiên cứu bổ sung nội dung khuyến khích: Ứng dụng công nghệ số trong quản lý, giám sát hoạt động hóa chất; Nghiên cứu, chuyển giao công nghệ xử lý, thay thế hóa chất độc hại; Xây dựng hệ thống cơ sở dữ liệu, cảnh báo sớm rủi ro hóa chất.</w:t>
            </w:r>
          </w:p>
        </w:tc>
        <w:tc>
          <w:tcPr>
            <w:tcW w:w="3085" w:type="dxa"/>
          </w:tcPr>
          <w:p w14:paraId="4C118933" w14:textId="75901C99" w:rsidR="00443506" w:rsidRPr="00FA28FF" w:rsidRDefault="009A0BE9"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lastRenderedPageBreak/>
              <w:t xml:space="preserve">Đã </w:t>
            </w:r>
            <w:r w:rsidR="00263090" w:rsidRPr="00FA28FF">
              <w:rPr>
                <w:rFonts w:ascii="Times New Roman" w:hAnsi="Times New Roman"/>
                <w:color w:val="000000" w:themeColor="text1"/>
                <w:spacing w:val="-4"/>
                <w:sz w:val="28"/>
                <w:szCs w:val="28"/>
              </w:rPr>
              <w:t xml:space="preserve">nghiên cứu, </w:t>
            </w:r>
            <w:r w:rsidRPr="00FA28FF">
              <w:rPr>
                <w:rFonts w:ascii="Times New Roman" w:hAnsi="Times New Roman"/>
                <w:color w:val="000000" w:themeColor="text1"/>
                <w:spacing w:val="-4"/>
                <w:sz w:val="28"/>
                <w:szCs w:val="28"/>
              </w:rPr>
              <w:t xml:space="preserve">tiếp thu chỉnh sửa </w:t>
            </w:r>
            <w:r w:rsidR="00263090" w:rsidRPr="00FA28FF">
              <w:rPr>
                <w:rFonts w:ascii="Times New Roman" w:hAnsi="Times New Roman"/>
                <w:color w:val="000000" w:themeColor="text1"/>
                <w:spacing w:val="-4"/>
                <w:sz w:val="28"/>
                <w:szCs w:val="28"/>
              </w:rPr>
              <w:t xml:space="preserve">một số nội dung </w:t>
            </w:r>
            <w:r w:rsidRPr="00FA28FF">
              <w:rPr>
                <w:rFonts w:ascii="Times New Roman" w:hAnsi="Times New Roman"/>
                <w:color w:val="000000" w:themeColor="text1"/>
                <w:spacing w:val="-4"/>
                <w:sz w:val="28"/>
                <w:szCs w:val="28"/>
              </w:rPr>
              <w:t>theo đề nghị liên quan đến phân định nhiệm vụ giữa Sở KH&amp;CN với các sở, ngành</w:t>
            </w:r>
            <w:r w:rsidR="00263090" w:rsidRPr="00FA28FF">
              <w:rPr>
                <w:rFonts w:ascii="Times New Roman" w:hAnsi="Times New Roman"/>
                <w:color w:val="000000" w:themeColor="text1"/>
                <w:spacing w:val="-4"/>
                <w:sz w:val="28"/>
                <w:szCs w:val="28"/>
              </w:rPr>
              <w:t xml:space="preserve">; bổ sung vào các điều khoản tưởng ứng một số nội dung hợp lý liên </w:t>
            </w:r>
            <w:r w:rsidR="00263090" w:rsidRPr="00FA28FF">
              <w:rPr>
                <w:rFonts w:ascii="Times New Roman" w:hAnsi="Times New Roman"/>
                <w:color w:val="000000" w:themeColor="text1"/>
                <w:spacing w:val="-4"/>
                <w:sz w:val="28"/>
                <w:szCs w:val="28"/>
              </w:rPr>
              <w:lastRenderedPageBreak/>
              <w:t>quan đến các lĩnh vực Sở KH&amp;CN có ý kiến</w:t>
            </w:r>
            <w:r w:rsidRPr="00FA28FF">
              <w:rPr>
                <w:rFonts w:ascii="Times New Roman" w:hAnsi="Times New Roman"/>
                <w:color w:val="000000" w:themeColor="text1"/>
                <w:spacing w:val="-4"/>
                <w:sz w:val="28"/>
                <w:szCs w:val="28"/>
              </w:rPr>
              <w:t xml:space="preserve"> </w:t>
            </w:r>
          </w:p>
        </w:tc>
      </w:tr>
      <w:tr w:rsidR="00FA28FF" w:rsidRPr="00FA28FF" w14:paraId="0C0CD384" w14:textId="77777777" w:rsidTr="004E5448">
        <w:tc>
          <w:tcPr>
            <w:tcW w:w="2405" w:type="dxa"/>
          </w:tcPr>
          <w:p w14:paraId="77529CA5" w14:textId="6DC4183F" w:rsidR="00443506"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lastRenderedPageBreak/>
              <w:t>Điều 13</w:t>
            </w:r>
          </w:p>
        </w:tc>
        <w:tc>
          <w:tcPr>
            <w:tcW w:w="2977" w:type="dxa"/>
          </w:tcPr>
          <w:p w14:paraId="375068D8" w14:textId="77138544" w:rsidR="00443506" w:rsidRPr="00FA28FF" w:rsidRDefault="00443506" w:rsidP="00B16B85">
            <w:pPr>
              <w:spacing w:before="120"/>
              <w:jc w:val="both"/>
              <w:rPr>
                <w:rFonts w:ascii="Times New Roman" w:hAnsi="Times New Roman"/>
                <w:color w:val="000000" w:themeColor="text1"/>
                <w:spacing w:val="-4"/>
                <w:sz w:val="28"/>
                <w:szCs w:val="28"/>
              </w:rPr>
            </w:pPr>
            <w:r w:rsidRPr="00FA28FF">
              <w:rPr>
                <w:rFonts w:ascii="Times New Roman" w:hAnsi="Times New Roman"/>
                <w:color w:val="000000" w:themeColor="text1"/>
                <w:sz w:val="28"/>
                <w:szCs w:val="28"/>
              </w:rPr>
              <w:t xml:space="preserve">Ban Quản lý các Khu công nghệ cao và Khu công nghiệp </w:t>
            </w:r>
          </w:p>
        </w:tc>
        <w:tc>
          <w:tcPr>
            <w:tcW w:w="6095" w:type="dxa"/>
          </w:tcPr>
          <w:p w14:paraId="22D2E689" w14:textId="0EB44453" w:rsidR="00443506"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Điều chỉnh, bổ sung một số nội dung tại Điều 13</w:t>
            </w:r>
            <w:r w:rsidR="00A66406" w:rsidRPr="00FA28FF">
              <w:rPr>
                <w:rFonts w:ascii="Times New Roman" w:hAnsi="Times New Roman"/>
                <w:color w:val="000000" w:themeColor="text1"/>
                <w:spacing w:val="-4"/>
                <w:sz w:val="28"/>
                <w:szCs w:val="28"/>
              </w:rPr>
              <w:t>.</w:t>
            </w:r>
          </w:p>
        </w:tc>
        <w:tc>
          <w:tcPr>
            <w:tcW w:w="3085" w:type="dxa"/>
          </w:tcPr>
          <w:p w14:paraId="0FE2D4DD" w14:textId="76E6306D" w:rsidR="00443506" w:rsidRPr="00FA28FF" w:rsidRDefault="000768AC" w:rsidP="00B16B85">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Đã tiếp thu</w:t>
            </w:r>
            <w:r w:rsidR="008E5DC4" w:rsidRPr="00FA28FF">
              <w:rPr>
                <w:rFonts w:ascii="Times New Roman" w:hAnsi="Times New Roman"/>
                <w:color w:val="000000" w:themeColor="text1"/>
                <w:spacing w:val="-4"/>
                <w:sz w:val="28"/>
                <w:szCs w:val="28"/>
              </w:rPr>
              <w:t xml:space="preserve">, </w:t>
            </w:r>
            <w:r w:rsidRPr="00FA28FF">
              <w:rPr>
                <w:rFonts w:ascii="Times New Roman" w:hAnsi="Times New Roman"/>
                <w:color w:val="000000" w:themeColor="text1"/>
                <w:spacing w:val="-4"/>
                <w:sz w:val="28"/>
                <w:szCs w:val="28"/>
              </w:rPr>
              <w:t>chỉnh sửa theo nội dung đề nghị</w:t>
            </w:r>
          </w:p>
        </w:tc>
      </w:tr>
      <w:tr w:rsidR="00FA28FF" w:rsidRPr="00FA28FF" w14:paraId="778C4CE9" w14:textId="77777777" w:rsidTr="004E5448">
        <w:tc>
          <w:tcPr>
            <w:tcW w:w="2405" w:type="dxa"/>
          </w:tcPr>
          <w:p w14:paraId="49925273" w14:textId="0D2B6017" w:rsidR="00DD5CBE" w:rsidRPr="00FA28FF" w:rsidRDefault="004E2410" w:rsidP="00466DFE">
            <w:pPr>
              <w:spacing w:before="120" w:after="120" w:line="320" w:lineRule="exact"/>
              <w:jc w:val="both"/>
              <w:rPr>
                <w:rFonts w:ascii="Times New Roman" w:hAnsi="Times New Roman"/>
                <w:color w:val="000000" w:themeColor="text1"/>
                <w:spacing w:val="-4"/>
                <w:sz w:val="28"/>
                <w:szCs w:val="28"/>
              </w:rPr>
            </w:pPr>
            <w:r w:rsidRPr="00FA28FF">
              <w:rPr>
                <w:rFonts w:ascii="Times New Roman" w:hAnsi="Times New Roman"/>
                <w:color w:val="000000" w:themeColor="text1"/>
                <w:spacing w:val="-4"/>
                <w:sz w:val="28"/>
                <w:szCs w:val="28"/>
              </w:rPr>
              <w:t>Khoản 1, khoản 2 Điều 16</w:t>
            </w:r>
          </w:p>
        </w:tc>
        <w:tc>
          <w:tcPr>
            <w:tcW w:w="2977" w:type="dxa"/>
          </w:tcPr>
          <w:p w14:paraId="0D71DAE6" w14:textId="7375538F" w:rsidR="00DD5CBE" w:rsidRPr="00FA28FF" w:rsidRDefault="00443506" w:rsidP="004E2410">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xml:space="preserve">Chi cục Hải quan khu vực I </w:t>
            </w:r>
          </w:p>
        </w:tc>
        <w:tc>
          <w:tcPr>
            <w:tcW w:w="6095" w:type="dxa"/>
          </w:tcPr>
          <w:p w14:paraId="31B38F8D" w14:textId="45E4D3C4" w:rsidR="00DD5CBE" w:rsidRPr="00FA28FF" w:rsidRDefault="00500CE9" w:rsidP="004E2410">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w:t>
            </w:r>
            <w:r w:rsidR="009A55BF" w:rsidRPr="00FA28FF">
              <w:rPr>
                <w:rFonts w:ascii="Times New Roman" w:hAnsi="Times New Roman"/>
                <w:color w:val="000000" w:themeColor="text1"/>
                <w:spacing w:val="-4"/>
                <w:sz w:val="28"/>
                <w:szCs w:val="28"/>
                <w:lang w:val="pt-BR"/>
              </w:rPr>
              <w:t xml:space="preserve">Văn bản số 1968 /HQKV1-NVHQ ngày </w:t>
            </w:r>
            <w:r w:rsidR="004E2410" w:rsidRPr="00FA28FF">
              <w:rPr>
                <w:rFonts w:ascii="Times New Roman" w:hAnsi="Times New Roman"/>
                <w:color w:val="000000" w:themeColor="text1"/>
                <w:spacing w:val="-4"/>
                <w:sz w:val="28"/>
                <w:szCs w:val="28"/>
                <w:lang w:val="pt-BR"/>
              </w:rPr>
              <w:t>20/4/2026 đề nghị chỉnh sửa khoản 1, khoản 2 Điều 16 dự thảo Quy chế.</w:t>
            </w:r>
          </w:p>
          <w:p w14:paraId="63E76A37" w14:textId="50D449EE" w:rsidR="00500CE9" w:rsidRPr="00FA28FF" w:rsidRDefault="00500CE9" w:rsidP="004E2410">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-Văn bản số 2566 /HQKV1-NVHQ ngày 08/5/2026 đề nghị làm rõ trường thông tin liên quan đến hàng hóa hóa chất nhập khẩu cần cung cấp.</w:t>
            </w:r>
          </w:p>
        </w:tc>
        <w:tc>
          <w:tcPr>
            <w:tcW w:w="3085" w:type="dxa"/>
          </w:tcPr>
          <w:p w14:paraId="3FE2B6D1" w14:textId="4ABF4C29" w:rsidR="00DD5CBE" w:rsidRPr="00FA28FF" w:rsidRDefault="004E2410" w:rsidP="00466DFE">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Đã tiếp thu chỉnh sửa, hoàn thiện dự thảo Quyết định theo đúng mẫu văn bản</w:t>
            </w:r>
          </w:p>
        </w:tc>
      </w:tr>
      <w:tr w:rsidR="00FA28FF" w:rsidRPr="00FA28FF" w14:paraId="6A5EF0AA" w14:textId="77777777" w:rsidTr="004E5448">
        <w:tc>
          <w:tcPr>
            <w:tcW w:w="2405" w:type="dxa"/>
          </w:tcPr>
          <w:p w14:paraId="5A5C071B" w14:textId="77777777" w:rsidR="00F82743" w:rsidRPr="00FA28FF" w:rsidRDefault="00F82743" w:rsidP="00466DFE">
            <w:pPr>
              <w:spacing w:before="120" w:after="120" w:line="320" w:lineRule="exact"/>
              <w:jc w:val="both"/>
              <w:rPr>
                <w:rFonts w:ascii="Times New Roman" w:hAnsi="Times New Roman"/>
                <w:color w:val="000000" w:themeColor="text1"/>
                <w:spacing w:val="-4"/>
                <w:sz w:val="28"/>
                <w:szCs w:val="28"/>
                <w:lang w:val="pt-BR"/>
              </w:rPr>
            </w:pPr>
          </w:p>
        </w:tc>
        <w:tc>
          <w:tcPr>
            <w:tcW w:w="2977" w:type="dxa"/>
          </w:tcPr>
          <w:p w14:paraId="17897153" w14:textId="05D89D83" w:rsidR="004E5448" w:rsidRPr="00FA28FF" w:rsidRDefault="00F82743" w:rsidP="006A791F">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xml:space="preserve">Các xã: </w:t>
            </w:r>
            <w:r w:rsidR="006A791F" w:rsidRPr="00FA28FF">
              <w:rPr>
                <w:rFonts w:ascii="Times New Roman" w:hAnsi="Times New Roman"/>
                <w:color w:val="000000" w:themeColor="text1"/>
                <w:spacing w:val="-4"/>
                <w:sz w:val="28"/>
                <w:szCs w:val="28"/>
                <w:lang w:val="pt-BR"/>
              </w:rPr>
              <w:t xml:space="preserve">Yên Xuân, Yên Hòa, Xuân Phương, Xuân Đỉnh, Vật Lại, Văn Miếu-Quốc Tử Giám, Vân Đình, Tùng Thiện, </w:t>
            </w:r>
            <w:r w:rsidR="007705F0" w:rsidRPr="00FA28FF">
              <w:rPr>
                <w:rFonts w:ascii="Times New Roman" w:hAnsi="Times New Roman"/>
                <w:color w:val="000000" w:themeColor="text1"/>
                <w:spacing w:val="-4"/>
                <w:sz w:val="28"/>
                <w:szCs w:val="28"/>
                <w:lang w:val="pt-BR"/>
              </w:rPr>
              <w:t xml:space="preserve">Thường Tín, Thuận An, Thiện Lộc, Thanh Liệt, Tựu Liệt, Tây Phương, Tam Hưng, Sơn Tây, Sóc Sơn, Quảng Oai, Phương Liệt, Phúc Thọ, Phúc Lợi, Phú Nghĩa, Phú Diên, </w:t>
            </w:r>
            <w:r w:rsidR="007705F0" w:rsidRPr="00FA28FF">
              <w:rPr>
                <w:rFonts w:ascii="Times New Roman" w:hAnsi="Times New Roman"/>
                <w:color w:val="000000" w:themeColor="text1"/>
                <w:spacing w:val="-4"/>
                <w:sz w:val="28"/>
                <w:szCs w:val="28"/>
                <w:lang w:val="pt-BR"/>
              </w:rPr>
              <w:lastRenderedPageBreak/>
              <w:t>Phú Cát, Ô Diên, Ô Chợ Dừa, Nghĩa Đ</w:t>
            </w:r>
            <w:r w:rsidR="000B1DFD" w:rsidRPr="00FA28FF">
              <w:rPr>
                <w:rFonts w:ascii="Times New Roman" w:hAnsi="Times New Roman"/>
                <w:color w:val="000000" w:themeColor="text1"/>
                <w:spacing w:val="-4"/>
                <w:sz w:val="28"/>
                <w:szCs w:val="28"/>
                <w:lang w:val="pt-BR"/>
              </w:rPr>
              <w:t>ô</w:t>
            </w:r>
            <w:r w:rsidR="007705F0" w:rsidRPr="00FA28FF">
              <w:rPr>
                <w:rFonts w:ascii="Times New Roman" w:hAnsi="Times New Roman"/>
                <w:color w:val="000000" w:themeColor="text1"/>
                <w:spacing w:val="-4"/>
                <w:sz w:val="28"/>
                <w:szCs w:val="28"/>
                <w:lang w:val="pt-BR"/>
              </w:rPr>
              <w:t>, Minh Câu,</w:t>
            </w:r>
            <w:r w:rsidR="00E056E0" w:rsidRPr="00FA28FF">
              <w:rPr>
                <w:rFonts w:ascii="Times New Roman" w:hAnsi="Times New Roman"/>
                <w:color w:val="000000" w:themeColor="text1"/>
                <w:spacing w:val="-4"/>
                <w:sz w:val="28"/>
                <w:szCs w:val="28"/>
                <w:lang w:val="pt-BR"/>
              </w:rPr>
              <w:t xml:space="preserve"> Liên Ninh, Láng, Kim Liên, Kim Anh, Hương Sơn, Hồng Hà, Hoàng Liệt, </w:t>
            </w:r>
            <w:r w:rsidR="00B37885" w:rsidRPr="00FA28FF">
              <w:rPr>
                <w:rFonts w:ascii="Times New Roman" w:hAnsi="Times New Roman"/>
                <w:color w:val="000000" w:themeColor="text1"/>
                <w:spacing w:val="-4"/>
                <w:sz w:val="28"/>
                <w:szCs w:val="28"/>
                <w:lang w:val="pt-BR"/>
              </w:rPr>
              <w:t>Hòa Xá, Hòa Phúc, Hát Môn, Hai Bà Trưng, Đông Ngạc, Dương Nội, Đoài Phương, Cửa Nam. Chương Dương, Bất Bạt, Ba Đình</w:t>
            </w:r>
            <w:r w:rsidR="007817CD" w:rsidRPr="00FA28FF">
              <w:rPr>
                <w:rFonts w:ascii="Times New Roman" w:hAnsi="Times New Roman"/>
                <w:color w:val="000000" w:themeColor="text1"/>
                <w:spacing w:val="-4"/>
                <w:sz w:val="28"/>
                <w:szCs w:val="28"/>
                <w:lang w:val="pt-BR"/>
              </w:rPr>
              <w:t>, Gia Lâm</w:t>
            </w:r>
          </w:p>
        </w:tc>
        <w:tc>
          <w:tcPr>
            <w:tcW w:w="6095" w:type="dxa"/>
          </w:tcPr>
          <w:p w14:paraId="0D7D8376" w14:textId="77777777" w:rsidR="00A66406" w:rsidRPr="00FA28FF" w:rsidRDefault="00A66406" w:rsidP="004E2410">
            <w:pPr>
              <w:spacing w:before="120" w:after="120" w:line="320" w:lineRule="exact"/>
              <w:jc w:val="both"/>
              <w:rPr>
                <w:rFonts w:ascii="Times New Roman" w:hAnsi="Times New Roman"/>
                <w:color w:val="000000" w:themeColor="text1"/>
                <w:spacing w:val="-4"/>
                <w:sz w:val="28"/>
                <w:szCs w:val="28"/>
                <w:lang w:val="pt-BR"/>
              </w:rPr>
            </w:pPr>
          </w:p>
          <w:p w14:paraId="0ECD40D1" w14:textId="35838B39" w:rsidR="00F82743" w:rsidRPr="00FA28FF" w:rsidRDefault="00A66406" w:rsidP="004E2410">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Nhất trí với dự thảo.</w:t>
            </w:r>
          </w:p>
        </w:tc>
        <w:tc>
          <w:tcPr>
            <w:tcW w:w="3085" w:type="dxa"/>
          </w:tcPr>
          <w:p w14:paraId="733C4639" w14:textId="77777777" w:rsidR="00F82743" w:rsidRPr="00FA28FF" w:rsidRDefault="00F82743" w:rsidP="00466DFE">
            <w:pPr>
              <w:spacing w:before="120" w:after="120" w:line="320" w:lineRule="exact"/>
              <w:jc w:val="both"/>
              <w:rPr>
                <w:rFonts w:ascii="Times New Roman" w:hAnsi="Times New Roman"/>
                <w:color w:val="000000" w:themeColor="text1"/>
                <w:spacing w:val="-4"/>
                <w:sz w:val="28"/>
                <w:szCs w:val="28"/>
                <w:lang w:val="pt-BR"/>
              </w:rPr>
            </w:pPr>
          </w:p>
        </w:tc>
      </w:tr>
      <w:tr w:rsidR="003239C2" w:rsidRPr="00FA28FF" w14:paraId="359EE2FD" w14:textId="77777777" w:rsidTr="00E434AA">
        <w:tc>
          <w:tcPr>
            <w:tcW w:w="2405" w:type="dxa"/>
          </w:tcPr>
          <w:p w14:paraId="731EFDF0" w14:textId="77777777" w:rsidR="003239C2" w:rsidRPr="00FA28FF" w:rsidRDefault="003239C2" w:rsidP="00E434AA">
            <w:pPr>
              <w:spacing w:before="120" w:after="120" w:line="320" w:lineRule="exact"/>
              <w:jc w:val="both"/>
              <w:rPr>
                <w:rFonts w:ascii="Times New Roman" w:hAnsi="Times New Roman"/>
                <w:color w:val="000000" w:themeColor="text1"/>
                <w:spacing w:val="-4"/>
                <w:sz w:val="28"/>
                <w:szCs w:val="28"/>
                <w:lang w:val="pt-BR"/>
              </w:rPr>
            </w:pPr>
          </w:p>
        </w:tc>
        <w:tc>
          <w:tcPr>
            <w:tcW w:w="2977" w:type="dxa"/>
          </w:tcPr>
          <w:p w14:paraId="74C48261" w14:textId="77777777" w:rsidR="00BD39E4" w:rsidRPr="00FA28FF" w:rsidRDefault="00BD39E4" w:rsidP="00E434AA">
            <w:pPr>
              <w:spacing w:before="120" w:after="120" w:line="320" w:lineRule="exact"/>
              <w:jc w:val="both"/>
              <w:rPr>
                <w:rFonts w:ascii="Times New Roman" w:hAnsi="Times New Roman"/>
                <w:color w:val="000000" w:themeColor="text1"/>
                <w:spacing w:val="-4"/>
                <w:sz w:val="28"/>
                <w:szCs w:val="28"/>
                <w:lang w:val="pt-BR"/>
              </w:rPr>
            </w:pPr>
          </w:p>
          <w:p w14:paraId="4806B6D6" w14:textId="77777777" w:rsidR="00BD39E4" w:rsidRPr="00FA28FF" w:rsidRDefault="00BD39E4" w:rsidP="00E434AA">
            <w:pPr>
              <w:spacing w:before="120" w:after="120" w:line="320" w:lineRule="exact"/>
              <w:jc w:val="both"/>
              <w:rPr>
                <w:rFonts w:ascii="Times New Roman" w:hAnsi="Times New Roman"/>
                <w:color w:val="000000" w:themeColor="text1"/>
                <w:spacing w:val="-4"/>
                <w:sz w:val="28"/>
                <w:szCs w:val="28"/>
                <w:lang w:val="pt-BR"/>
              </w:rPr>
            </w:pPr>
          </w:p>
          <w:p w14:paraId="70B18E08" w14:textId="77777777" w:rsidR="00BD39E4" w:rsidRPr="00FA28FF" w:rsidRDefault="00BD39E4" w:rsidP="00E434AA">
            <w:pPr>
              <w:spacing w:before="120" w:after="120" w:line="320" w:lineRule="exact"/>
              <w:jc w:val="both"/>
              <w:rPr>
                <w:rFonts w:ascii="Times New Roman" w:hAnsi="Times New Roman"/>
                <w:color w:val="000000" w:themeColor="text1"/>
                <w:spacing w:val="-4"/>
                <w:sz w:val="28"/>
                <w:szCs w:val="28"/>
                <w:lang w:val="pt-BR"/>
              </w:rPr>
            </w:pPr>
          </w:p>
          <w:p w14:paraId="0700CF9C" w14:textId="68712375" w:rsidR="003239C2" w:rsidRPr="00FA28FF" w:rsidRDefault="003239C2" w:rsidP="000B1DFD">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xml:space="preserve">Các xã: </w:t>
            </w:r>
            <w:r w:rsidR="007817CD" w:rsidRPr="00FA28FF">
              <w:rPr>
                <w:rFonts w:ascii="Times New Roman" w:hAnsi="Times New Roman"/>
                <w:color w:val="000000" w:themeColor="text1"/>
                <w:spacing w:val="-4"/>
                <w:sz w:val="28"/>
                <w:szCs w:val="28"/>
                <w:lang w:val="pt-BR"/>
              </w:rPr>
              <w:t>Dân hòa, Hoài Đức, Hồng Vân, Ngọc Hà, Quang Minh</w:t>
            </w:r>
            <w:r w:rsidR="000B1DFD" w:rsidRPr="00FA28FF">
              <w:rPr>
                <w:rFonts w:ascii="Times New Roman" w:hAnsi="Times New Roman"/>
                <w:color w:val="000000" w:themeColor="text1"/>
                <w:spacing w:val="-4"/>
                <w:sz w:val="28"/>
                <w:szCs w:val="28"/>
                <w:lang w:val="pt-BR"/>
              </w:rPr>
              <w:t xml:space="preserve">, Thanh Oai, Việt Hưng, </w:t>
            </w:r>
            <w:r w:rsidRPr="00FA28FF">
              <w:rPr>
                <w:rFonts w:ascii="Times New Roman" w:hAnsi="Times New Roman"/>
                <w:color w:val="000000" w:themeColor="text1"/>
                <w:spacing w:val="-4"/>
                <w:sz w:val="28"/>
                <w:szCs w:val="28"/>
                <w:lang w:val="pt-BR"/>
              </w:rPr>
              <w:t>Phương Liệt, Tiến Thắng, Phúc Sơn</w:t>
            </w:r>
            <w:r w:rsidR="00754181" w:rsidRPr="00FA28FF">
              <w:rPr>
                <w:rFonts w:ascii="Times New Roman" w:hAnsi="Times New Roman"/>
                <w:color w:val="000000" w:themeColor="text1"/>
                <w:spacing w:val="-4"/>
                <w:sz w:val="28"/>
                <w:szCs w:val="28"/>
                <w:lang w:val="pt-BR"/>
              </w:rPr>
              <w:t>, Yên Sở</w:t>
            </w:r>
            <w:r w:rsidR="00200BE0" w:rsidRPr="00FA28FF">
              <w:rPr>
                <w:rFonts w:ascii="Times New Roman" w:hAnsi="Times New Roman"/>
                <w:color w:val="000000" w:themeColor="text1"/>
                <w:spacing w:val="-4"/>
                <w:sz w:val="28"/>
                <w:szCs w:val="28"/>
                <w:lang w:val="pt-BR"/>
              </w:rPr>
              <w:t>. Mê Linh, Ứng Thiên</w:t>
            </w:r>
          </w:p>
        </w:tc>
        <w:tc>
          <w:tcPr>
            <w:tcW w:w="6095" w:type="dxa"/>
          </w:tcPr>
          <w:p w14:paraId="45294B0B" w14:textId="10CBDEFF" w:rsidR="003239C2" w:rsidRPr="00FA28FF" w:rsidRDefault="00754181"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Các xã</w:t>
            </w:r>
            <w:r w:rsidR="003239C2" w:rsidRPr="00FA28FF">
              <w:rPr>
                <w:rFonts w:ascii="Times New Roman" w:hAnsi="Times New Roman"/>
                <w:color w:val="000000" w:themeColor="text1"/>
                <w:spacing w:val="-4"/>
                <w:sz w:val="28"/>
                <w:szCs w:val="28"/>
                <w:lang w:val="pt-BR"/>
              </w:rPr>
              <w:t xml:space="preserve"> đề nghị:</w:t>
            </w:r>
          </w:p>
          <w:p w14:paraId="5C30C7C0" w14:textId="4172D53C" w:rsidR="003239C2" w:rsidRPr="00FA28FF" w:rsidRDefault="003239C2"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w:t>
            </w:r>
            <w:r w:rsidR="00241FF0" w:rsidRPr="00FA28FF">
              <w:rPr>
                <w:rFonts w:ascii="Times New Roman" w:hAnsi="Times New Roman"/>
                <w:color w:val="000000" w:themeColor="text1"/>
                <w:spacing w:val="-4"/>
                <w:sz w:val="28"/>
                <w:szCs w:val="28"/>
                <w:lang w:val="pt-BR"/>
              </w:rPr>
              <w:t xml:space="preserve"> </w:t>
            </w:r>
            <w:r w:rsidR="00754181" w:rsidRPr="00FA28FF">
              <w:rPr>
                <w:rFonts w:ascii="Times New Roman" w:hAnsi="Times New Roman"/>
                <w:color w:val="000000" w:themeColor="text1"/>
                <w:spacing w:val="-4"/>
                <w:sz w:val="28"/>
                <w:szCs w:val="28"/>
                <w:lang w:val="pt-BR"/>
              </w:rPr>
              <w:t>L</w:t>
            </w:r>
            <w:r w:rsidRPr="00FA28FF">
              <w:rPr>
                <w:rFonts w:ascii="Times New Roman" w:hAnsi="Times New Roman"/>
                <w:color w:val="000000" w:themeColor="text1"/>
                <w:spacing w:val="-4"/>
                <w:sz w:val="28"/>
                <w:szCs w:val="28"/>
                <w:lang w:val="pt-BR"/>
              </w:rPr>
              <w:t>àm rõ hơn phạm vi áp dụng và trách nhiệm của Ủy ban nhân dân cấp xã, bảo đảm phù hợp với chức năng, nhiệm vụ và thẩm quyền của chính quyền cấp xã theo quy định hiện hành</w:t>
            </w:r>
            <w:r w:rsidR="00241FF0" w:rsidRPr="00FA28FF">
              <w:rPr>
                <w:rFonts w:ascii="Times New Roman" w:hAnsi="Times New Roman"/>
                <w:color w:val="000000" w:themeColor="text1"/>
                <w:spacing w:val="-4"/>
                <w:sz w:val="28"/>
                <w:szCs w:val="28"/>
                <w:lang w:val="pt-BR"/>
              </w:rPr>
              <w:t>.</w:t>
            </w:r>
          </w:p>
          <w:p w14:paraId="076399E4" w14:textId="3CE1094F" w:rsidR="003239C2" w:rsidRPr="00FA28FF" w:rsidRDefault="003239C2"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xml:space="preserve">- </w:t>
            </w:r>
            <w:r w:rsidR="00241FF0" w:rsidRPr="00FA28FF">
              <w:rPr>
                <w:rFonts w:ascii="Times New Roman" w:hAnsi="Times New Roman"/>
                <w:color w:val="000000" w:themeColor="text1"/>
                <w:spacing w:val="-4"/>
                <w:sz w:val="28"/>
                <w:szCs w:val="28"/>
                <w:lang w:val="pt-BR"/>
              </w:rPr>
              <w:t>B</w:t>
            </w:r>
            <w:r w:rsidRPr="00FA28FF">
              <w:rPr>
                <w:rFonts w:ascii="Times New Roman" w:hAnsi="Times New Roman"/>
                <w:color w:val="000000" w:themeColor="text1"/>
                <w:spacing w:val="-4"/>
                <w:sz w:val="28"/>
                <w:szCs w:val="28"/>
                <w:lang w:val="pt-BR"/>
              </w:rPr>
              <w:t>ổ sung hướng dẫn cụ thể về quy trình xử lý, ứng phó khi xảy ra sự cố hóa chất tại địa bàn cấp xã, đặc biệt là cơ chế huy động lực lượng, phương tiện tại chỗ và phối hợp với các cơ quan chức năng cấp trên.</w:t>
            </w:r>
          </w:p>
          <w:p w14:paraId="2FE0B7C7" w14:textId="783693EE" w:rsidR="00241FF0" w:rsidRPr="00FA28FF" w:rsidRDefault="003239C2"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w:t>
            </w:r>
            <w:r w:rsidR="00754181" w:rsidRPr="00FA28FF">
              <w:rPr>
                <w:rFonts w:ascii="Times New Roman" w:hAnsi="Times New Roman"/>
                <w:color w:val="000000" w:themeColor="text1"/>
                <w:spacing w:val="-4"/>
                <w:sz w:val="28"/>
                <w:szCs w:val="28"/>
                <w:lang w:val="pt-BR"/>
              </w:rPr>
              <w:t xml:space="preserve"> </w:t>
            </w:r>
            <w:r w:rsidRPr="00FA28FF">
              <w:rPr>
                <w:rFonts w:ascii="Times New Roman" w:hAnsi="Times New Roman"/>
                <w:color w:val="000000" w:themeColor="text1"/>
                <w:spacing w:val="-4"/>
                <w:sz w:val="28"/>
                <w:szCs w:val="28"/>
                <w:lang w:val="pt-BR"/>
              </w:rPr>
              <w:t xml:space="preserve">Xem xét tính khả thi đối với một số nhiệm vụ giao cho cấp xã. </w:t>
            </w:r>
          </w:p>
          <w:p w14:paraId="31F9B535" w14:textId="3A07BC12" w:rsidR="00754181" w:rsidRPr="00FA28FF" w:rsidRDefault="00754181" w:rsidP="00754181">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xml:space="preserve">- Đề nghị nghiên cứu làm rõ hơn cơ chế phối hợp trong công tác thanh tra, kiểm tra liên ngành. </w:t>
            </w:r>
          </w:p>
          <w:p w14:paraId="53A97BD5" w14:textId="77777777" w:rsidR="00754181" w:rsidRPr="00FA28FF" w:rsidRDefault="00754181" w:rsidP="00754181">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lastRenderedPageBreak/>
              <w:t>- Bổ sung quy định về chia sẻ thông tin, dữ liệu giữa các cơ quan nhất là với cơ sở địa phương để đảm bảo thông tin dữ liệu kịp thời, hiệu quả.</w:t>
            </w:r>
          </w:p>
          <w:p w14:paraId="7AF6FB6C" w14:textId="77777777" w:rsidR="00754181" w:rsidRPr="00FA28FF" w:rsidRDefault="00754181" w:rsidP="00754181">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Nghiên cứu quy định rõ hơn trách nhiệm phối hợp của Ủy ban nhân dân cấp xã, các cơ quan chuyên môn và đơn vị liên quan trong việc cung cấp thông tin, kiểm tra, xử lý tình huống phát sinh, chế độ báo cáo, nhằm phù hợp với mô hình chính quyền địa phương 02 cấp hiện nay.</w:t>
            </w:r>
          </w:p>
          <w:p w14:paraId="13136DE9" w14:textId="1DCE8AEA" w:rsidR="00200BE0" w:rsidRPr="00FA28FF" w:rsidRDefault="00200BE0" w:rsidP="00754181">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 Khối lượng công việc lớn, không có chuyên ngành công thương nói chung và quản lý hóa chất nói riêng, trong khi lĩnh vực quản lý hóa chất đòi hỏi cần có chuyên môn sâu mới có thể đi tham mưu quản lý, kiểm tra, xử lý được.</w:t>
            </w:r>
          </w:p>
        </w:tc>
        <w:tc>
          <w:tcPr>
            <w:tcW w:w="3085" w:type="dxa"/>
          </w:tcPr>
          <w:p w14:paraId="4103A66B" w14:textId="56FFE7F1" w:rsidR="00200BE0" w:rsidRPr="00FA28FF" w:rsidRDefault="00200BE0"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lastRenderedPageBreak/>
              <w:t xml:space="preserve">Quy chế phối hợp quy định cụ thể trách nhiệm phối hợp trên các mặt công tác của các cơ quan, tổ chức và UBND cấp xã trong quản lý hoạt động hóa chất trên cơ sở chức năng nhiệm vụ của các cơ quan. Do vậy, Sở Công Thương </w:t>
            </w:r>
            <w:r w:rsidR="007817CD" w:rsidRPr="00FA28FF">
              <w:rPr>
                <w:rFonts w:ascii="Times New Roman" w:hAnsi="Times New Roman"/>
                <w:color w:val="000000" w:themeColor="text1"/>
                <w:spacing w:val="-4"/>
                <w:sz w:val="28"/>
                <w:szCs w:val="28"/>
                <w:lang w:val="pt-BR"/>
              </w:rPr>
              <w:t>điều chỉnh</w:t>
            </w:r>
            <w:r w:rsidRPr="00FA28FF">
              <w:rPr>
                <w:rFonts w:ascii="Times New Roman" w:hAnsi="Times New Roman"/>
                <w:color w:val="000000" w:themeColor="text1"/>
                <w:spacing w:val="-4"/>
                <w:sz w:val="28"/>
                <w:szCs w:val="28"/>
                <w:lang w:val="pt-BR"/>
              </w:rPr>
              <w:t xml:space="preserve"> </w:t>
            </w:r>
            <w:r w:rsidR="007817CD" w:rsidRPr="00FA28FF">
              <w:rPr>
                <w:rFonts w:ascii="Times New Roman" w:hAnsi="Times New Roman"/>
                <w:color w:val="000000" w:themeColor="text1"/>
                <w:spacing w:val="-4"/>
                <w:sz w:val="28"/>
                <w:szCs w:val="28"/>
                <w:lang w:val="pt-BR"/>
              </w:rPr>
              <w:t xml:space="preserve">bổ sung </w:t>
            </w:r>
            <w:r w:rsidRPr="00FA28FF">
              <w:rPr>
                <w:rFonts w:ascii="Times New Roman" w:hAnsi="Times New Roman"/>
                <w:color w:val="000000" w:themeColor="text1"/>
                <w:spacing w:val="-4"/>
                <w:sz w:val="28"/>
                <w:szCs w:val="28"/>
                <w:lang w:val="pt-BR"/>
              </w:rPr>
              <w:t>quy định về trách nhiệm của UBND cấp xã</w:t>
            </w:r>
            <w:r w:rsidR="007817CD" w:rsidRPr="00FA28FF">
              <w:rPr>
                <w:rFonts w:ascii="Times New Roman" w:hAnsi="Times New Roman"/>
                <w:color w:val="000000" w:themeColor="text1"/>
                <w:spacing w:val="-4"/>
                <w:sz w:val="28"/>
                <w:szCs w:val="28"/>
                <w:lang w:val="pt-BR"/>
              </w:rPr>
              <w:t xml:space="preserve"> phù hợp với quy định mới về phân cấp trong PCCC</w:t>
            </w:r>
            <w:r w:rsidRPr="00FA28FF">
              <w:rPr>
                <w:rFonts w:ascii="Times New Roman" w:hAnsi="Times New Roman"/>
                <w:color w:val="000000" w:themeColor="text1"/>
                <w:spacing w:val="-4"/>
                <w:sz w:val="28"/>
                <w:szCs w:val="28"/>
                <w:lang w:val="pt-BR"/>
              </w:rPr>
              <w:t>.</w:t>
            </w:r>
          </w:p>
          <w:p w14:paraId="6B6C5251" w14:textId="6F725D4C" w:rsidR="003239C2" w:rsidRPr="00FA28FF" w:rsidRDefault="00200BE0" w:rsidP="00E434AA">
            <w:pPr>
              <w:spacing w:before="120" w:after="120" w:line="320" w:lineRule="exact"/>
              <w:jc w:val="both"/>
              <w:rPr>
                <w:rFonts w:ascii="Times New Roman" w:hAnsi="Times New Roman"/>
                <w:color w:val="000000" w:themeColor="text1"/>
                <w:spacing w:val="-4"/>
                <w:sz w:val="28"/>
                <w:szCs w:val="28"/>
                <w:lang w:val="pt-BR"/>
              </w:rPr>
            </w:pPr>
            <w:r w:rsidRPr="00FA28FF">
              <w:rPr>
                <w:rFonts w:ascii="Times New Roman" w:hAnsi="Times New Roman"/>
                <w:color w:val="000000" w:themeColor="text1"/>
                <w:spacing w:val="-4"/>
                <w:sz w:val="28"/>
                <w:szCs w:val="28"/>
                <w:lang w:val="pt-BR"/>
              </w:rPr>
              <w:t>T</w:t>
            </w:r>
            <w:r w:rsidR="00241FF0" w:rsidRPr="00FA28FF">
              <w:rPr>
                <w:rFonts w:ascii="Times New Roman" w:hAnsi="Times New Roman"/>
                <w:color w:val="000000" w:themeColor="text1"/>
                <w:spacing w:val="-4"/>
                <w:sz w:val="28"/>
                <w:szCs w:val="28"/>
                <w:lang w:val="pt-BR"/>
              </w:rPr>
              <w:t>iếp thu tính hợp lý</w:t>
            </w:r>
            <w:r w:rsidRPr="00FA28FF">
              <w:rPr>
                <w:rFonts w:ascii="Times New Roman" w:hAnsi="Times New Roman"/>
                <w:color w:val="000000" w:themeColor="text1"/>
                <w:spacing w:val="-4"/>
                <w:sz w:val="28"/>
                <w:szCs w:val="28"/>
                <w:lang w:val="pt-BR"/>
              </w:rPr>
              <w:t xml:space="preserve"> một số nội dung,</w:t>
            </w:r>
            <w:r w:rsidR="00241FF0" w:rsidRPr="00FA28FF">
              <w:rPr>
                <w:rFonts w:ascii="Times New Roman" w:hAnsi="Times New Roman"/>
                <w:color w:val="000000" w:themeColor="text1"/>
                <w:spacing w:val="-4"/>
                <w:sz w:val="28"/>
                <w:szCs w:val="28"/>
                <w:lang w:val="pt-BR"/>
              </w:rPr>
              <w:t xml:space="preserve"> </w:t>
            </w:r>
            <w:r w:rsidR="00754181" w:rsidRPr="00FA28FF">
              <w:rPr>
                <w:rFonts w:ascii="Times New Roman" w:hAnsi="Times New Roman"/>
                <w:color w:val="000000" w:themeColor="text1"/>
                <w:spacing w:val="-4"/>
                <w:sz w:val="28"/>
                <w:szCs w:val="28"/>
                <w:lang w:val="pt-BR"/>
              </w:rPr>
              <w:t>chỉnh sửa theo</w:t>
            </w:r>
            <w:r w:rsidR="00241FF0" w:rsidRPr="00FA28FF">
              <w:rPr>
                <w:rFonts w:ascii="Times New Roman" w:hAnsi="Times New Roman"/>
                <w:color w:val="000000" w:themeColor="text1"/>
                <w:spacing w:val="-4"/>
                <w:sz w:val="28"/>
                <w:szCs w:val="28"/>
                <w:lang w:val="pt-BR"/>
              </w:rPr>
              <w:t xml:space="preserve"> </w:t>
            </w:r>
            <w:r w:rsidR="00241FF0" w:rsidRPr="00FA28FF">
              <w:rPr>
                <w:rFonts w:ascii="Times New Roman" w:hAnsi="Times New Roman"/>
                <w:color w:val="000000" w:themeColor="text1"/>
                <w:spacing w:val="-4"/>
                <w:sz w:val="28"/>
                <w:szCs w:val="28"/>
                <w:lang w:val="pt-BR"/>
              </w:rPr>
              <w:lastRenderedPageBreak/>
              <w:t>các đề nghị vào các quy định tương ứng trong dự thảo Quy chế.</w:t>
            </w:r>
          </w:p>
        </w:tc>
      </w:tr>
    </w:tbl>
    <w:p w14:paraId="13E4E588" w14:textId="2852507C" w:rsidR="00466DFE" w:rsidRPr="00FA28FF" w:rsidRDefault="00466DFE" w:rsidP="00466DFE">
      <w:pPr>
        <w:spacing w:before="120" w:after="120" w:line="320" w:lineRule="exact"/>
        <w:ind w:firstLine="720"/>
        <w:jc w:val="both"/>
        <w:rPr>
          <w:rFonts w:ascii="Times New Roman" w:hAnsi="Times New Roman"/>
          <w:color w:val="000000" w:themeColor="text1"/>
          <w:spacing w:val="-4"/>
          <w:sz w:val="28"/>
          <w:szCs w:val="28"/>
          <w:lang w:val="pt-BR"/>
        </w:rPr>
      </w:pPr>
    </w:p>
    <w:sectPr w:rsidR="00466DFE" w:rsidRPr="00FA28FF" w:rsidSect="00DD5CBE">
      <w:pgSz w:w="16840" w:h="11907" w:orient="landscape" w:code="9"/>
      <w:pgMar w:top="1134" w:right="1134"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77"/>
    <w:rsid w:val="00014262"/>
    <w:rsid w:val="0002787C"/>
    <w:rsid w:val="0006014F"/>
    <w:rsid w:val="000768AC"/>
    <w:rsid w:val="00097581"/>
    <w:rsid w:val="000B1DFD"/>
    <w:rsid w:val="000C44F7"/>
    <w:rsid w:val="00104E0F"/>
    <w:rsid w:val="00107A7E"/>
    <w:rsid w:val="001106CA"/>
    <w:rsid w:val="0011082C"/>
    <w:rsid w:val="001112A4"/>
    <w:rsid w:val="001F612B"/>
    <w:rsid w:val="00200BE0"/>
    <w:rsid w:val="00211420"/>
    <w:rsid w:val="00220AAC"/>
    <w:rsid w:val="00241FF0"/>
    <w:rsid w:val="0025713C"/>
    <w:rsid w:val="00263090"/>
    <w:rsid w:val="002A1B58"/>
    <w:rsid w:val="00317F7B"/>
    <w:rsid w:val="003239C2"/>
    <w:rsid w:val="003A7755"/>
    <w:rsid w:val="00413445"/>
    <w:rsid w:val="00443506"/>
    <w:rsid w:val="00466DFE"/>
    <w:rsid w:val="004E2410"/>
    <w:rsid w:val="004E5448"/>
    <w:rsid w:val="00500CE9"/>
    <w:rsid w:val="0052093E"/>
    <w:rsid w:val="005230DA"/>
    <w:rsid w:val="00543A6C"/>
    <w:rsid w:val="00553CC3"/>
    <w:rsid w:val="005E0678"/>
    <w:rsid w:val="00627706"/>
    <w:rsid w:val="006A791F"/>
    <w:rsid w:val="006B6785"/>
    <w:rsid w:val="00754181"/>
    <w:rsid w:val="0076316A"/>
    <w:rsid w:val="007705F0"/>
    <w:rsid w:val="007817CD"/>
    <w:rsid w:val="00781EAE"/>
    <w:rsid w:val="00791FCA"/>
    <w:rsid w:val="007C4621"/>
    <w:rsid w:val="007D7BD2"/>
    <w:rsid w:val="008E34C7"/>
    <w:rsid w:val="008E5DC4"/>
    <w:rsid w:val="009141EC"/>
    <w:rsid w:val="00921549"/>
    <w:rsid w:val="00952A96"/>
    <w:rsid w:val="009A0BE9"/>
    <w:rsid w:val="009A4E1B"/>
    <w:rsid w:val="009A55BF"/>
    <w:rsid w:val="009C7DE0"/>
    <w:rsid w:val="00A66406"/>
    <w:rsid w:val="00AC3B12"/>
    <w:rsid w:val="00AD2675"/>
    <w:rsid w:val="00B22077"/>
    <w:rsid w:val="00B37885"/>
    <w:rsid w:val="00BB7B12"/>
    <w:rsid w:val="00BC30C4"/>
    <w:rsid w:val="00BD39E4"/>
    <w:rsid w:val="00C1110A"/>
    <w:rsid w:val="00C65CDE"/>
    <w:rsid w:val="00D7769C"/>
    <w:rsid w:val="00DB4A8D"/>
    <w:rsid w:val="00DD5CBE"/>
    <w:rsid w:val="00E056E0"/>
    <w:rsid w:val="00E170A9"/>
    <w:rsid w:val="00E33380"/>
    <w:rsid w:val="00E5569E"/>
    <w:rsid w:val="00E67A45"/>
    <w:rsid w:val="00E7722E"/>
    <w:rsid w:val="00F2010D"/>
    <w:rsid w:val="00F361FB"/>
    <w:rsid w:val="00F55420"/>
    <w:rsid w:val="00F82743"/>
    <w:rsid w:val="00FA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1AF6"/>
  <w15:chartTrackingRefBased/>
  <w15:docId w15:val="{3777881F-14CF-4016-8BAA-86800A84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077"/>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B220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20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207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207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B2207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B2207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B2207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B22077"/>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B22077"/>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0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0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07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220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20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20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0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0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0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07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2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0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20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2077"/>
    <w:pPr>
      <w:spacing w:before="160" w:after="160" w:line="259" w:lineRule="auto"/>
      <w:jc w:val="center"/>
    </w:pPr>
    <w:rPr>
      <w:rFonts w:ascii="Times New Roman" w:eastAsiaTheme="minorHAnsi" w:hAnsi="Times New Roman"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B22077"/>
    <w:rPr>
      <w:i/>
      <w:iCs/>
      <w:color w:val="404040" w:themeColor="text1" w:themeTint="BF"/>
    </w:rPr>
  </w:style>
  <w:style w:type="paragraph" w:styleId="ListParagraph">
    <w:name w:val="List Paragraph"/>
    <w:basedOn w:val="Normal"/>
    <w:uiPriority w:val="34"/>
    <w:qFormat/>
    <w:rsid w:val="00B22077"/>
    <w:pPr>
      <w:spacing w:after="160" w:line="259" w:lineRule="auto"/>
      <w:ind w:left="720"/>
      <w:contextualSpacing/>
    </w:pPr>
    <w:rPr>
      <w:rFonts w:ascii="Times New Roman" w:eastAsiaTheme="minorHAnsi" w:hAnsi="Times New Roman" w:cstheme="minorBidi"/>
      <w:kern w:val="2"/>
      <w:sz w:val="28"/>
      <w:szCs w:val="22"/>
      <w14:ligatures w14:val="standardContextual"/>
    </w:rPr>
  </w:style>
  <w:style w:type="character" w:styleId="IntenseEmphasis">
    <w:name w:val="Intense Emphasis"/>
    <w:basedOn w:val="DefaultParagraphFont"/>
    <w:uiPriority w:val="21"/>
    <w:qFormat/>
    <w:rsid w:val="00B22077"/>
    <w:rPr>
      <w:i/>
      <w:iCs/>
      <w:color w:val="2F5496" w:themeColor="accent1" w:themeShade="BF"/>
    </w:rPr>
  </w:style>
  <w:style w:type="paragraph" w:styleId="IntenseQuote">
    <w:name w:val="Intense Quote"/>
    <w:basedOn w:val="Normal"/>
    <w:next w:val="Normal"/>
    <w:link w:val="IntenseQuoteChar"/>
    <w:uiPriority w:val="30"/>
    <w:qFormat/>
    <w:rsid w:val="00B220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B22077"/>
    <w:rPr>
      <w:i/>
      <w:iCs/>
      <w:color w:val="2F5496" w:themeColor="accent1" w:themeShade="BF"/>
    </w:rPr>
  </w:style>
  <w:style w:type="character" w:styleId="IntenseReference">
    <w:name w:val="Intense Reference"/>
    <w:basedOn w:val="DefaultParagraphFont"/>
    <w:uiPriority w:val="32"/>
    <w:qFormat/>
    <w:rsid w:val="00B22077"/>
    <w:rPr>
      <w:b/>
      <w:bCs/>
      <w:smallCaps/>
      <w:color w:val="2F5496" w:themeColor="accent1" w:themeShade="BF"/>
      <w:spacing w:val="5"/>
    </w:rPr>
  </w:style>
  <w:style w:type="table" w:styleId="TableGrid">
    <w:name w:val="Table Grid"/>
    <w:basedOn w:val="TableNormal"/>
    <w:rsid w:val="00B2207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22077"/>
    <w:pPr>
      <w:widowControl w:val="0"/>
      <w:suppressLineNumbers/>
      <w:suppressAutoHyphens/>
    </w:pPr>
    <w:rPr>
      <w:rFonts w:ascii="Times New Roman" w:eastAsia="Lucida Sans Unicode" w:hAnsi="Times New Roman"/>
      <w:kern w:val="1"/>
    </w:rPr>
  </w:style>
  <w:style w:type="character" w:customStyle="1" w:styleId="BodyTextChar">
    <w:name w:val="Body Text Char"/>
    <w:basedOn w:val="DefaultParagraphFont"/>
    <w:link w:val="BodyText"/>
    <w:rsid w:val="00B22077"/>
    <w:rPr>
      <w:szCs w:val="28"/>
    </w:rPr>
  </w:style>
  <w:style w:type="paragraph" w:styleId="BodyText">
    <w:name w:val="Body Text"/>
    <w:basedOn w:val="Normal"/>
    <w:link w:val="BodyTextChar"/>
    <w:qFormat/>
    <w:rsid w:val="00B22077"/>
    <w:pPr>
      <w:widowControl w:val="0"/>
      <w:spacing w:after="120" w:line="269" w:lineRule="auto"/>
      <w:ind w:firstLine="400"/>
    </w:pPr>
    <w:rPr>
      <w:rFonts w:ascii="Times New Roman" w:eastAsiaTheme="minorHAnsi" w:hAnsi="Times New Roman" w:cstheme="minorBidi"/>
      <w:kern w:val="2"/>
      <w:sz w:val="28"/>
      <w:szCs w:val="28"/>
      <w14:ligatures w14:val="standardContextual"/>
    </w:rPr>
  </w:style>
  <w:style w:type="character" w:customStyle="1" w:styleId="BodyTextChar1">
    <w:name w:val="Body Text Char1"/>
    <w:basedOn w:val="DefaultParagraphFont"/>
    <w:uiPriority w:val="99"/>
    <w:semiHidden/>
    <w:rsid w:val="00B22077"/>
    <w:rPr>
      <w:rFonts w:ascii=".VnTime" w:eastAsia="Times New Roman" w:hAnsi=".VnTime" w:cs="Times New Roman"/>
      <w:kern w:val="0"/>
      <w:sz w:val="24"/>
      <w:szCs w:val="24"/>
      <w14:ligatures w14:val="none"/>
    </w:rPr>
  </w:style>
  <w:style w:type="character" w:customStyle="1" w:styleId="fontstyle01">
    <w:name w:val="fontstyle01"/>
    <w:basedOn w:val="DefaultParagraphFont"/>
    <w:rsid w:val="00B22077"/>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B22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dc:creator>
  <cp:keywords/>
  <dc:description/>
  <cp:lastModifiedBy>NEW</cp:lastModifiedBy>
  <cp:revision>2</cp:revision>
  <dcterms:created xsi:type="dcterms:W3CDTF">2026-06-09T07:00:00Z</dcterms:created>
  <dcterms:modified xsi:type="dcterms:W3CDTF">2026-06-09T07:00:00Z</dcterms:modified>
</cp:coreProperties>
</file>